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63" w:rsidRPr="009C7545" w:rsidRDefault="00000763" w:rsidP="00000763">
      <w:pPr>
        <w:jc w:val="center"/>
        <w:rPr>
          <w:sz w:val="28"/>
          <w:szCs w:val="28"/>
        </w:rPr>
      </w:pPr>
      <w:r w:rsidRPr="009C7545">
        <w:rPr>
          <w:sz w:val="28"/>
          <w:szCs w:val="28"/>
        </w:rPr>
        <w:t>МИНИСТЕРСТВО ЗДРАВООХРАНЕНИЯ РОССИЙСКОЙ ФЕДЕРАЦИИ</w:t>
      </w:r>
    </w:p>
    <w:p w:rsidR="009B0FBA" w:rsidRDefault="009B0FBA" w:rsidP="001475D3">
      <w:pPr>
        <w:jc w:val="center"/>
        <w:rPr>
          <w:caps/>
          <w:sz w:val="28"/>
          <w:szCs w:val="28"/>
        </w:rPr>
      </w:pPr>
    </w:p>
    <w:p w:rsidR="00CD424C" w:rsidRPr="009C7545" w:rsidRDefault="00CD424C" w:rsidP="001475D3">
      <w:pPr>
        <w:jc w:val="center"/>
        <w:rPr>
          <w:caps/>
          <w:sz w:val="28"/>
          <w:szCs w:val="28"/>
        </w:rPr>
      </w:pPr>
    </w:p>
    <w:p w:rsidR="00A1165F" w:rsidRPr="005D2B61" w:rsidRDefault="00A1165F" w:rsidP="00BF7A5F">
      <w:pPr>
        <w:spacing w:line="360" w:lineRule="auto"/>
        <w:jc w:val="center"/>
        <w:rPr>
          <w:caps/>
          <w:sz w:val="28"/>
          <w:szCs w:val="28"/>
        </w:rPr>
      </w:pPr>
      <w:r w:rsidRPr="005D2B61">
        <w:rPr>
          <w:caps/>
          <w:sz w:val="28"/>
          <w:szCs w:val="28"/>
        </w:rPr>
        <w:t xml:space="preserve">ИНСТРУКЦИЯ </w:t>
      </w:r>
    </w:p>
    <w:p w:rsidR="00A1165F" w:rsidRPr="00746174" w:rsidRDefault="004C516E" w:rsidP="00746174">
      <w:pPr>
        <w:spacing w:line="360" w:lineRule="auto"/>
        <w:jc w:val="center"/>
        <w:rPr>
          <w:b/>
          <w:sz w:val="28"/>
          <w:szCs w:val="28"/>
        </w:rPr>
      </w:pPr>
      <w:r w:rsidRPr="005D2B61">
        <w:rPr>
          <w:sz w:val="28"/>
          <w:szCs w:val="28"/>
        </w:rPr>
        <w:t>ПО МЕДИЦИНСКОМУ ПРИМЕНЕНИЮ ЛЕКАРСТВЕННОГО</w:t>
      </w:r>
      <w:r w:rsidRPr="00746174">
        <w:rPr>
          <w:b/>
          <w:sz w:val="28"/>
          <w:szCs w:val="28"/>
        </w:rPr>
        <w:t xml:space="preserve"> </w:t>
      </w:r>
      <w:r w:rsidRPr="00E13F45">
        <w:rPr>
          <w:sz w:val="28"/>
          <w:szCs w:val="28"/>
        </w:rPr>
        <w:t>ПРЕПАРАТА</w:t>
      </w:r>
    </w:p>
    <w:p w:rsidR="00A1165F" w:rsidRPr="005D2B61" w:rsidRDefault="002E2249" w:rsidP="001475D3">
      <w:pPr>
        <w:jc w:val="center"/>
        <w:rPr>
          <w:b/>
          <w:caps/>
          <w:sz w:val="28"/>
          <w:szCs w:val="28"/>
        </w:rPr>
      </w:pPr>
      <w:r w:rsidRPr="005D2B61">
        <w:rPr>
          <w:b/>
          <w:caps/>
          <w:sz w:val="28"/>
          <w:szCs w:val="28"/>
        </w:rPr>
        <w:t>ИНДАПАМИД</w:t>
      </w:r>
    </w:p>
    <w:p w:rsidR="00C478CE" w:rsidRPr="009C7545" w:rsidRDefault="00C478CE" w:rsidP="00C30376">
      <w:pPr>
        <w:jc w:val="center"/>
        <w:rPr>
          <w:sz w:val="28"/>
          <w:szCs w:val="28"/>
        </w:rPr>
      </w:pPr>
    </w:p>
    <w:p w:rsidR="00E43686" w:rsidRPr="009C7545" w:rsidRDefault="00E43686" w:rsidP="001475D3">
      <w:pPr>
        <w:jc w:val="center"/>
        <w:rPr>
          <w:sz w:val="28"/>
          <w:szCs w:val="28"/>
        </w:rPr>
      </w:pPr>
    </w:p>
    <w:p w:rsidR="001C168C" w:rsidRPr="009C7545" w:rsidRDefault="001C168C" w:rsidP="00413798">
      <w:pPr>
        <w:pStyle w:val="a7"/>
        <w:spacing w:line="360" w:lineRule="auto"/>
        <w:jc w:val="both"/>
        <w:rPr>
          <w:b/>
        </w:rPr>
      </w:pPr>
      <w:r w:rsidRPr="009C7545">
        <w:rPr>
          <w:b/>
        </w:rPr>
        <w:t>Регистрационный номер:</w:t>
      </w:r>
    </w:p>
    <w:p w:rsidR="00413798" w:rsidRPr="009C7545" w:rsidRDefault="00413798" w:rsidP="00413798">
      <w:pPr>
        <w:pStyle w:val="a7"/>
        <w:spacing w:line="360" w:lineRule="auto"/>
        <w:jc w:val="both"/>
      </w:pPr>
      <w:r w:rsidRPr="009C7545">
        <w:rPr>
          <w:b/>
        </w:rPr>
        <w:t xml:space="preserve">Торговое </w:t>
      </w:r>
      <w:r w:rsidR="001C168C" w:rsidRPr="009C7545">
        <w:rPr>
          <w:b/>
        </w:rPr>
        <w:t>наименование</w:t>
      </w:r>
      <w:r w:rsidR="00191BF9">
        <w:rPr>
          <w:b/>
        </w:rPr>
        <w:t xml:space="preserve">: </w:t>
      </w:r>
      <w:r w:rsidR="00C84866">
        <w:t>ИНДАПАМИД</w:t>
      </w:r>
    </w:p>
    <w:p w:rsidR="00413798" w:rsidRPr="009C7545" w:rsidRDefault="00413798" w:rsidP="00413798">
      <w:pPr>
        <w:pStyle w:val="a7"/>
        <w:spacing w:line="360" w:lineRule="auto"/>
        <w:jc w:val="both"/>
      </w:pPr>
      <w:r w:rsidRPr="009C7545">
        <w:rPr>
          <w:b/>
        </w:rPr>
        <w:t xml:space="preserve">Международное непатентованное </w:t>
      </w:r>
      <w:r w:rsidR="001C168C" w:rsidRPr="009C7545">
        <w:rPr>
          <w:b/>
        </w:rPr>
        <w:t>наименование</w:t>
      </w:r>
      <w:r w:rsidRPr="009C7545">
        <w:rPr>
          <w:b/>
        </w:rPr>
        <w:t>:</w:t>
      </w:r>
      <w:r w:rsidR="00C84866">
        <w:t xml:space="preserve"> </w:t>
      </w:r>
      <w:proofErr w:type="spellStart"/>
      <w:r w:rsidR="00E95AEC">
        <w:t>индапамид</w:t>
      </w:r>
      <w:proofErr w:type="spellEnd"/>
    </w:p>
    <w:p w:rsidR="00413798" w:rsidRPr="009C7545" w:rsidRDefault="00413798" w:rsidP="00413798">
      <w:pPr>
        <w:pStyle w:val="a7"/>
        <w:spacing w:line="360" w:lineRule="auto"/>
        <w:jc w:val="both"/>
      </w:pPr>
      <w:r w:rsidRPr="009C7545">
        <w:rPr>
          <w:b/>
        </w:rPr>
        <w:t xml:space="preserve">Лекарственная форма: </w:t>
      </w:r>
      <w:r w:rsidR="00C84866">
        <w:t>таблетки, покрытые оболочкой</w:t>
      </w:r>
    </w:p>
    <w:p w:rsidR="00413798" w:rsidRPr="009C7545" w:rsidRDefault="00413798" w:rsidP="00413798">
      <w:pPr>
        <w:spacing w:line="360" w:lineRule="auto"/>
        <w:jc w:val="both"/>
        <w:rPr>
          <w:b/>
          <w:sz w:val="28"/>
        </w:rPr>
      </w:pPr>
      <w:r w:rsidRPr="009C7545">
        <w:rPr>
          <w:b/>
          <w:sz w:val="28"/>
        </w:rPr>
        <w:t xml:space="preserve">Состав: </w:t>
      </w:r>
    </w:p>
    <w:p w:rsidR="00570CD5" w:rsidRPr="008A3EFC" w:rsidRDefault="00570CD5" w:rsidP="00570CD5">
      <w:pPr>
        <w:spacing w:line="360" w:lineRule="auto"/>
        <w:jc w:val="both"/>
        <w:rPr>
          <w:i/>
          <w:sz w:val="28"/>
          <w:szCs w:val="20"/>
        </w:rPr>
      </w:pPr>
      <w:r w:rsidRPr="008A3EFC">
        <w:rPr>
          <w:sz w:val="28"/>
          <w:szCs w:val="20"/>
        </w:rPr>
        <w:t xml:space="preserve">1 таблетка </w:t>
      </w:r>
      <w:r w:rsidR="00C84866" w:rsidRPr="008A3EFC">
        <w:rPr>
          <w:sz w:val="28"/>
          <w:szCs w:val="20"/>
        </w:rPr>
        <w:t xml:space="preserve">2,5 </w:t>
      </w:r>
      <w:r w:rsidRPr="008A3EFC">
        <w:rPr>
          <w:sz w:val="28"/>
          <w:szCs w:val="20"/>
        </w:rPr>
        <w:t xml:space="preserve"> мг содержит:    </w:t>
      </w:r>
    </w:p>
    <w:p w:rsidR="00570CD5" w:rsidRDefault="00570CD5" w:rsidP="00570CD5">
      <w:pPr>
        <w:spacing w:line="360" w:lineRule="auto"/>
        <w:jc w:val="both"/>
        <w:rPr>
          <w:sz w:val="28"/>
          <w:szCs w:val="20"/>
        </w:rPr>
      </w:pPr>
      <w:r w:rsidRPr="00570CD5">
        <w:rPr>
          <w:i/>
          <w:sz w:val="28"/>
          <w:szCs w:val="20"/>
        </w:rPr>
        <w:t>действующее вещество</w:t>
      </w:r>
      <w:r w:rsidR="00746174">
        <w:rPr>
          <w:sz w:val="28"/>
          <w:szCs w:val="20"/>
        </w:rPr>
        <w:t>:</w:t>
      </w:r>
      <w:r w:rsidR="00121748">
        <w:rPr>
          <w:sz w:val="28"/>
          <w:szCs w:val="20"/>
        </w:rPr>
        <w:t xml:space="preserve"> </w:t>
      </w:r>
      <w:proofErr w:type="spellStart"/>
      <w:r w:rsidR="00121748">
        <w:rPr>
          <w:sz w:val="28"/>
          <w:szCs w:val="20"/>
        </w:rPr>
        <w:t>индапамид</w:t>
      </w:r>
      <w:proofErr w:type="spellEnd"/>
      <w:r w:rsidR="00121748">
        <w:rPr>
          <w:sz w:val="28"/>
          <w:szCs w:val="20"/>
        </w:rPr>
        <w:t xml:space="preserve"> 2,</w:t>
      </w:r>
      <w:r w:rsidR="00C84866">
        <w:rPr>
          <w:sz w:val="28"/>
          <w:szCs w:val="20"/>
        </w:rPr>
        <w:t>5</w:t>
      </w:r>
      <w:r w:rsidR="00746174">
        <w:rPr>
          <w:sz w:val="28"/>
          <w:szCs w:val="20"/>
        </w:rPr>
        <w:t xml:space="preserve"> мг</w:t>
      </w:r>
      <w:r w:rsidRPr="00570CD5">
        <w:rPr>
          <w:sz w:val="28"/>
          <w:szCs w:val="20"/>
        </w:rPr>
        <w:t xml:space="preserve">; </w:t>
      </w:r>
    </w:p>
    <w:p w:rsidR="00570CD5" w:rsidRDefault="00707DCF" w:rsidP="00570CD5">
      <w:pPr>
        <w:spacing w:line="360" w:lineRule="auto"/>
        <w:jc w:val="both"/>
        <w:rPr>
          <w:sz w:val="28"/>
          <w:szCs w:val="20"/>
        </w:rPr>
      </w:pPr>
      <w:r>
        <w:rPr>
          <w:i/>
          <w:sz w:val="28"/>
          <w:szCs w:val="20"/>
        </w:rPr>
        <w:t>вспомогательные вещества</w:t>
      </w:r>
      <w:r w:rsidR="00570CD5" w:rsidRPr="00570CD5">
        <w:rPr>
          <w:i/>
          <w:sz w:val="28"/>
          <w:szCs w:val="20"/>
        </w:rPr>
        <w:t>:</w:t>
      </w:r>
      <w:r w:rsidR="00570CD5" w:rsidRPr="00570CD5">
        <w:rPr>
          <w:sz w:val="28"/>
          <w:szCs w:val="20"/>
        </w:rPr>
        <w:t xml:space="preserve"> лактозы моногидрат</w:t>
      </w:r>
      <w:r w:rsidR="00746174">
        <w:rPr>
          <w:sz w:val="28"/>
          <w:szCs w:val="20"/>
        </w:rPr>
        <w:t xml:space="preserve">, </w:t>
      </w:r>
      <w:r w:rsidR="00CD424C">
        <w:rPr>
          <w:sz w:val="28"/>
          <w:szCs w:val="20"/>
        </w:rPr>
        <w:t>целлюлоза микрокристал</w:t>
      </w:r>
      <w:r w:rsidR="00F02ECA">
        <w:rPr>
          <w:sz w:val="28"/>
          <w:szCs w:val="20"/>
        </w:rPr>
        <w:t>л</w:t>
      </w:r>
      <w:r w:rsidR="00CD424C">
        <w:rPr>
          <w:sz w:val="28"/>
          <w:szCs w:val="20"/>
        </w:rPr>
        <w:t xml:space="preserve">ическая, </w:t>
      </w:r>
      <w:r w:rsidR="00E95AEC">
        <w:rPr>
          <w:sz w:val="28"/>
          <w:szCs w:val="20"/>
        </w:rPr>
        <w:t xml:space="preserve">крахмал кукурузный, магния </w:t>
      </w:r>
      <w:proofErr w:type="spellStart"/>
      <w:r w:rsidR="00E95AEC">
        <w:rPr>
          <w:sz w:val="28"/>
          <w:szCs w:val="20"/>
        </w:rPr>
        <w:t>стеарат</w:t>
      </w:r>
      <w:proofErr w:type="spellEnd"/>
      <w:r w:rsidR="00E95AEC">
        <w:rPr>
          <w:sz w:val="28"/>
          <w:szCs w:val="20"/>
        </w:rPr>
        <w:t xml:space="preserve">, </w:t>
      </w:r>
      <w:r w:rsidR="005033B8">
        <w:rPr>
          <w:sz w:val="28"/>
          <w:szCs w:val="20"/>
        </w:rPr>
        <w:t>поливинилпирролидон</w:t>
      </w:r>
      <w:bookmarkStart w:id="0" w:name="_GoBack"/>
      <w:bookmarkEnd w:id="0"/>
      <w:r w:rsidR="00E95AEC">
        <w:rPr>
          <w:sz w:val="28"/>
          <w:szCs w:val="20"/>
        </w:rPr>
        <w:t>, тальк</w:t>
      </w:r>
      <w:r>
        <w:rPr>
          <w:sz w:val="28"/>
          <w:szCs w:val="20"/>
        </w:rPr>
        <w:t>;</w:t>
      </w:r>
    </w:p>
    <w:p w:rsidR="00707DCF" w:rsidRPr="00707DCF" w:rsidRDefault="00707DCF" w:rsidP="00570CD5">
      <w:pPr>
        <w:spacing w:line="360" w:lineRule="auto"/>
        <w:jc w:val="both"/>
        <w:rPr>
          <w:i/>
          <w:sz w:val="28"/>
          <w:szCs w:val="20"/>
        </w:rPr>
      </w:pPr>
      <w:r w:rsidRPr="00707DCF">
        <w:rPr>
          <w:i/>
          <w:sz w:val="28"/>
          <w:szCs w:val="20"/>
        </w:rPr>
        <w:t xml:space="preserve"> оболочка</w:t>
      </w:r>
      <w:r>
        <w:rPr>
          <w:i/>
          <w:sz w:val="28"/>
          <w:szCs w:val="20"/>
        </w:rPr>
        <w:t xml:space="preserve">: </w:t>
      </w:r>
      <w:proofErr w:type="spellStart"/>
      <w:r w:rsidRPr="00707DCF">
        <w:rPr>
          <w:sz w:val="28"/>
          <w:szCs w:val="20"/>
        </w:rPr>
        <w:t>гипромеллоза</w:t>
      </w:r>
      <w:proofErr w:type="spellEnd"/>
      <w:r w:rsidRPr="00707DCF">
        <w:rPr>
          <w:sz w:val="28"/>
          <w:szCs w:val="20"/>
        </w:rPr>
        <w:t xml:space="preserve">, </w:t>
      </w:r>
      <w:proofErr w:type="spellStart"/>
      <w:r w:rsidRPr="00707DCF">
        <w:rPr>
          <w:sz w:val="28"/>
          <w:szCs w:val="20"/>
        </w:rPr>
        <w:t>полисорбат</w:t>
      </w:r>
      <w:proofErr w:type="spellEnd"/>
      <w:r w:rsidRPr="00707DCF">
        <w:rPr>
          <w:sz w:val="28"/>
          <w:szCs w:val="20"/>
        </w:rPr>
        <w:t xml:space="preserve"> 80, титана диоксид, касторовое масло, тальк, макрогол-4000</w:t>
      </w:r>
      <w:r>
        <w:rPr>
          <w:i/>
          <w:sz w:val="28"/>
          <w:szCs w:val="20"/>
        </w:rPr>
        <w:t>.</w:t>
      </w:r>
    </w:p>
    <w:p w:rsidR="00746174" w:rsidRDefault="00746174" w:rsidP="009C7925">
      <w:pPr>
        <w:pStyle w:val="a7"/>
        <w:spacing w:line="360" w:lineRule="auto"/>
        <w:jc w:val="both"/>
        <w:rPr>
          <w:b/>
        </w:rPr>
      </w:pPr>
      <w:r w:rsidRPr="009C7545">
        <w:rPr>
          <w:b/>
        </w:rPr>
        <w:t>О</w:t>
      </w:r>
      <w:r w:rsidR="008E68B9" w:rsidRPr="009C7545">
        <w:rPr>
          <w:b/>
        </w:rPr>
        <w:t>писание</w:t>
      </w:r>
    </w:p>
    <w:p w:rsidR="00E95AEC" w:rsidRDefault="00E95AEC" w:rsidP="009C7925">
      <w:pPr>
        <w:pStyle w:val="a7"/>
        <w:spacing w:line="360" w:lineRule="auto"/>
        <w:jc w:val="both"/>
        <w:rPr>
          <w:szCs w:val="24"/>
        </w:rPr>
      </w:pPr>
      <w:r>
        <w:rPr>
          <w:szCs w:val="24"/>
        </w:rPr>
        <w:t>Круглые, двояковыпуклые таблетки, без риски, покрытые оболочкой белого цвета. На поперечном разрезе таблетка белого или почти белого цвета.</w:t>
      </w:r>
    </w:p>
    <w:p w:rsidR="001F0226" w:rsidRPr="009C7545" w:rsidRDefault="008E68B9" w:rsidP="009C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Ф</w:t>
      </w:r>
      <w:r w:rsidR="002E2249">
        <w:rPr>
          <w:b/>
          <w:sz w:val="28"/>
          <w:szCs w:val="28"/>
        </w:rPr>
        <w:t>армакотерапевтическая группа</w:t>
      </w:r>
    </w:p>
    <w:p w:rsidR="00707DCF" w:rsidRDefault="002E2249" w:rsidP="003075B7">
      <w:pPr>
        <w:pStyle w:val="a7"/>
        <w:spacing w:line="360" w:lineRule="auto"/>
        <w:jc w:val="both"/>
      </w:pPr>
      <w:r>
        <w:t>Д</w:t>
      </w:r>
      <w:r w:rsidR="00707DCF" w:rsidRPr="00707DCF">
        <w:t xml:space="preserve">иуретическое средство. </w:t>
      </w:r>
    </w:p>
    <w:p w:rsidR="00707DCF" w:rsidRDefault="00707DCF" w:rsidP="003075B7">
      <w:pPr>
        <w:pStyle w:val="a7"/>
        <w:spacing w:line="360" w:lineRule="auto"/>
        <w:jc w:val="both"/>
      </w:pPr>
      <w:r w:rsidRPr="002E2249">
        <w:rPr>
          <w:b/>
        </w:rPr>
        <w:t>Код АТХ:</w:t>
      </w:r>
      <w:r w:rsidR="00A73918">
        <w:t xml:space="preserve"> С03</w:t>
      </w:r>
      <w:r w:rsidRPr="00707DCF">
        <w:t xml:space="preserve">ВА11 </w:t>
      </w:r>
    </w:p>
    <w:p w:rsidR="00561DC3" w:rsidRPr="009C7545" w:rsidRDefault="008E68B9" w:rsidP="003075B7">
      <w:pPr>
        <w:pStyle w:val="a7"/>
        <w:spacing w:line="360" w:lineRule="auto"/>
        <w:jc w:val="both"/>
        <w:rPr>
          <w:b/>
        </w:rPr>
      </w:pPr>
      <w:r>
        <w:rPr>
          <w:b/>
        </w:rPr>
        <w:t>Ф</w:t>
      </w:r>
      <w:r w:rsidRPr="009C7545">
        <w:rPr>
          <w:b/>
        </w:rPr>
        <w:t>армакологические свойства</w:t>
      </w:r>
    </w:p>
    <w:p w:rsidR="00E72D7D" w:rsidRPr="00D13D31" w:rsidRDefault="008E68B9" w:rsidP="003075B7">
      <w:pPr>
        <w:pStyle w:val="a7"/>
        <w:spacing w:line="360" w:lineRule="auto"/>
        <w:jc w:val="both"/>
        <w:rPr>
          <w:b/>
        </w:rPr>
      </w:pPr>
      <w:r w:rsidRPr="00D13D31">
        <w:rPr>
          <w:b/>
        </w:rPr>
        <w:t>Фармакодинамика</w:t>
      </w:r>
    </w:p>
    <w:p w:rsidR="002E2249" w:rsidRPr="008A3EFC" w:rsidRDefault="002E2249" w:rsidP="003075B7">
      <w:pPr>
        <w:pStyle w:val="a7"/>
        <w:spacing w:line="360" w:lineRule="auto"/>
        <w:jc w:val="both"/>
        <w:rPr>
          <w:i/>
        </w:rPr>
      </w:pPr>
      <w:r w:rsidRPr="008A3EFC">
        <w:rPr>
          <w:i/>
        </w:rPr>
        <w:t>Механизм действия</w:t>
      </w:r>
    </w:p>
    <w:p w:rsidR="00AF7572" w:rsidRPr="00AF7572" w:rsidRDefault="00AF7572" w:rsidP="00AF7572">
      <w:pPr>
        <w:spacing w:line="360" w:lineRule="auto"/>
        <w:jc w:val="both"/>
        <w:rPr>
          <w:sz w:val="28"/>
          <w:szCs w:val="20"/>
        </w:rPr>
      </w:pPr>
      <w:bookmarkStart w:id="1" w:name="PhKin"/>
      <w:proofErr w:type="spellStart"/>
      <w:r w:rsidRPr="00AF7572">
        <w:rPr>
          <w:sz w:val="28"/>
          <w:szCs w:val="20"/>
        </w:rPr>
        <w:t>Индапамид</w:t>
      </w:r>
      <w:proofErr w:type="spellEnd"/>
      <w:r w:rsidRPr="00AF7572">
        <w:rPr>
          <w:sz w:val="28"/>
          <w:szCs w:val="20"/>
        </w:rPr>
        <w:t xml:space="preserve"> относится к производным </w:t>
      </w:r>
      <w:proofErr w:type="spellStart"/>
      <w:r w:rsidRPr="00AF7572">
        <w:rPr>
          <w:sz w:val="28"/>
          <w:szCs w:val="20"/>
        </w:rPr>
        <w:t>сульфонамида</w:t>
      </w:r>
      <w:proofErr w:type="spellEnd"/>
      <w:r w:rsidRPr="00AF7572">
        <w:rPr>
          <w:sz w:val="28"/>
          <w:szCs w:val="20"/>
        </w:rPr>
        <w:t xml:space="preserve"> с </w:t>
      </w:r>
      <w:proofErr w:type="spellStart"/>
      <w:r w:rsidRPr="00AF7572">
        <w:rPr>
          <w:sz w:val="28"/>
          <w:szCs w:val="20"/>
        </w:rPr>
        <w:t>индольным</w:t>
      </w:r>
      <w:proofErr w:type="spellEnd"/>
      <w:r w:rsidRPr="00AF7572">
        <w:rPr>
          <w:sz w:val="28"/>
          <w:szCs w:val="20"/>
        </w:rPr>
        <w:t xml:space="preserve"> кольцом и по фармакологическим свойствам </w:t>
      </w:r>
      <w:proofErr w:type="gramStart"/>
      <w:r w:rsidRPr="00AF7572">
        <w:rPr>
          <w:sz w:val="28"/>
          <w:szCs w:val="20"/>
        </w:rPr>
        <w:t>близок</w:t>
      </w:r>
      <w:proofErr w:type="gramEnd"/>
      <w:r w:rsidRPr="00AF7572">
        <w:rPr>
          <w:sz w:val="28"/>
          <w:szCs w:val="20"/>
        </w:rPr>
        <w:t xml:space="preserve"> к тиазидным диуретикам, которые </w:t>
      </w:r>
      <w:r w:rsidRPr="00AF7572">
        <w:rPr>
          <w:sz w:val="28"/>
          <w:szCs w:val="20"/>
        </w:rPr>
        <w:lastRenderedPageBreak/>
        <w:t xml:space="preserve">ингибируют </w:t>
      </w:r>
      <w:proofErr w:type="spellStart"/>
      <w:r w:rsidRPr="00AF7572">
        <w:rPr>
          <w:sz w:val="28"/>
          <w:szCs w:val="20"/>
        </w:rPr>
        <w:t>реабсорбцию</w:t>
      </w:r>
      <w:proofErr w:type="spellEnd"/>
      <w:r w:rsidRPr="00AF7572">
        <w:rPr>
          <w:sz w:val="28"/>
          <w:szCs w:val="20"/>
        </w:rPr>
        <w:t xml:space="preserve"> ионов натрия в кортикальном сегменте петли нефрона. </w:t>
      </w:r>
    </w:p>
    <w:p w:rsidR="002D562A" w:rsidRDefault="00AF7572" w:rsidP="00AF7572">
      <w:pPr>
        <w:spacing w:line="360" w:lineRule="auto"/>
        <w:jc w:val="both"/>
        <w:rPr>
          <w:sz w:val="28"/>
          <w:szCs w:val="20"/>
        </w:rPr>
      </w:pPr>
      <w:r w:rsidRPr="00AF7572">
        <w:rPr>
          <w:sz w:val="28"/>
          <w:szCs w:val="20"/>
        </w:rPr>
        <w:t xml:space="preserve">При этом увеличивается выделение почками ионов натрия, хлора и, в меньшей степени, ионов калия и магния, что сопровождается увеличением диуреза и гипотензивным эффектом. </w:t>
      </w:r>
    </w:p>
    <w:p w:rsidR="002D562A" w:rsidRPr="008A3EFC" w:rsidRDefault="00AF7572" w:rsidP="00AF7572">
      <w:pPr>
        <w:spacing w:line="360" w:lineRule="auto"/>
        <w:jc w:val="both"/>
        <w:rPr>
          <w:i/>
          <w:sz w:val="28"/>
          <w:szCs w:val="20"/>
        </w:rPr>
      </w:pPr>
      <w:r w:rsidRPr="008A3EFC">
        <w:rPr>
          <w:i/>
          <w:sz w:val="28"/>
          <w:szCs w:val="20"/>
        </w:rPr>
        <w:t xml:space="preserve">Фармакодинамические эффекты </w:t>
      </w:r>
    </w:p>
    <w:p w:rsidR="00AF7572" w:rsidRPr="00AF7572" w:rsidRDefault="00AF7572" w:rsidP="00AF7572">
      <w:pPr>
        <w:spacing w:line="360" w:lineRule="auto"/>
        <w:jc w:val="both"/>
        <w:rPr>
          <w:sz w:val="28"/>
          <w:szCs w:val="20"/>
        </w:rPr>
      </w:pPr>
      <w:r w:rsidRPr="00AF7572">
        <w:rPr>
          <w:sz w:val="28"/>
          <w:szCs w:val="20"/>
        </w:rPr>
        <w:t xml:space="preserve">В клинических исследованиях II и III фаз при использовании </w:t>
      </w:r>
      <w:proofErr w:type="spellStart"/>
      <w:r w:rsidRPr="00AF7572">
        <w:rPr>
          <w:sz w:val="28"/>
          <w:szCs w:val="20"/>
        </w:rPr>
        <w:t>индапамида</w:t>
      </w:r>
      <w:proofErr w:type="spellEnd"/>
      <w:r w:rsidRPr="00AF7572">
        <w:rPr>
          <w:sz w:val="28"/>
          <w:szCs w:val="20"/>
        </w:rPr>
        <w:t xml:space="preserve"> в режиме </w:t>
      </w:r>
      <w:proofErr w:type="spellStart"/>
      <w:r w:rsidRPr="00AF7572">
        <w:rPr>
          <w:sz w:val="28"/>
          <w:szCs w:val="20"/>
        </w:rPr>
        <w:t>монотерапии</w:t>
      </w:r>
      <w:proofErr w:type="spellEnd"/>
      <w:r w:rsidRPr="00AF7572">
        <w:rPr>
          <w:sz w:val="28"/>
          <w:szCs w:val="20"/>
        </w:rPr>
        <w:t xml:space="preserve"> в дозах, не оказывающих выраженного диуретического эффекта, был продемонстрирован 24-часовой гипотензивный эффект. </w:t>
      </w:r>
    </w:p>
    <w:p w:rsidR="00AF7572" w:rsidRPr="00AF7572" w:rsidRDefault="00AF7572" w:rsidP="00AF7572">
      <w:pPr>
        <w:spacing w:line="360" w:lineRule="auto"/>
        <w:jc w:val="both"/>
        <w:rPr>
          <w:sz w:val="28"/>
          <w:szCs w:val="20"/>
        </w:rPr>
      </w:pPr>
      <w:proofErr w:type="spellStart"/>
      <w:r w:rsidRPr="00AF7572">
        <w:rPr>
          <w:sz w:val="28"/>
          <w:szCs w:val="20"/>
        </w:rPr>
        <w:t>Антигипертензивная</w:t>
      </w:r>
      <w:proofErr w:type="spellEnd"/>
      <w:r w:rsidRPr="00AF7572">
        <w:rPr>
          <w:sz w:val="28"/>
          <w:szCs w:val="20"/>
        </w:rPr>
        <w:t xml:space="preserve"> активность </w:t>
      </w:r>
      <w:proofErr w:type="spellStart"/>
      <w:r w:rsidRPr="00AF7572">
        <w:rPr>
          <w:sz w:val="28"/>
          <w:szCs w:val="20"/>
        </w:rPr>
        <w:t>индапамида</w:t>
      </w:r>
      <w:proofErr w:type="spellEnd"/>
      <w:r w:rsidRPr="00AF7572">
        <w:rPr>
          <w:sz w:val="28"/>
          <w:szCs w:val="20"/>
        </w:rPr>
        <w:t xml:space="preserve"> связана с </w:t>
      </w:r>
      <w:r w:rsidR="002D562A">
        <w:rPr>
          <w:sz w:val="28"/>
          <w:szCs w:val="20"/>
        </w:rPr>
        <w:t>улучшением эластических свой</w:t>
      </w:r>
      <w:proofErr w:type="gramStart"/>
      <w:r w:rsidR="002D562A">
        <w:rPr>
          <w:sz w:val="28"/>
          <w:szCs w:val="20"/>
        </w:rPr>
        <w:t xml:space="preserve">ств </w:t>
      </w:r>
      <w:r w:rsidRPr="00AF7572">
        <w:rPr>
          <w:sz w:val="28"/>
          <w:szCs w:val="20"/>
        </w:rPr>
        <w:t>кр</w:t>
      </w:r>
      <w:proofErr w:type="gramEnd"/>
      <w:r w:rsidRPr="00AF7572">
        <w:rPr>
          <w:sz w:val="28"/>
          <w:szCs w:val="20"/>
        </w:rPr>
        <w:t xml:space="preserve">упных артерий, уменьшением </w:t>
      </w:r>
      <w:proofErr w:type="spellStart"/>
      <w:r w:rsidRPr="00AF7572">
        <w:rPr>
          <w:sz w:val="28"/>
          <w:szCs w:val="20"/>
        </w:rPr>
        <w:t>артериолярного</w:t>
      </w:r>
      <w:proofErr w:type="spellEnd"/>
      <w:r w:rsidRPr="00AF7572">
        <w:rPr>
          <w:sz w:val="28"/>
          <w:szCs w:val="20"/>
        </w:rPr>
        <w:t xml:space="preserve"> и общего периферического сосудистого сопротивления. </w:t>
      </w:r>
    </w:p>
    <w:p w:rsidR="00AF7572" w:rsidRPr="00AF7572" w:rsidRDefault="00AF7572" w:rsidP="00AF7572">
      <w:pPr>
        <w:spacing w:line="360" w:lineRule="auto"/>
        <w:jc w:val="both"/>
        <w:rPr>
          <w:sz w:val="28"/>
          <w:szCs w:val="20"/>
        </w:rPr>
      </w:pPr>
      <w:proofErr w:type="spellStart"/>
      <w:r w:rsidRPr="00AF7572">
        <w:rPr>
          <w:sz w:val="28"/>
          <w:szCs w:val="20"/>
        </w:rPr>
        <w:t>Индапамид</w:t>
      </w:r>
      <w:proofErr w:type="spellEnd"/>
      <w:r w:rsidRPr="00AF7572">
        <w:rPr>
          <w:sz w:val="28"/>
          <w:szCs w:val="20"/>
        </w:rPr>
        <w:t xml:space="preserve"> уменьшает гипертрофию левого желудочка. </w:t>
      </w:r>
    </w:p>
    <w:p w:rsidR="00AF7572" w:rsidRPr="00AF7572" w:rsidRDefault="00AF7572" w:rsidP="00AF7572">
      <w:pPr>
        <w:spacing w:line="360" w:lineRule="auto"/>
        <w:jc w:val="both"/>
        <w:rPr>
          <w:sz w:val="28"/>
          <w:szCs w:val="20"/>
        </w:rPr>
      </w:pPr>
      <w:proofErr w:type="spellStart"/>
      <w:r w:rsidRPr="00AF7572">
        <w:rPr>
          <w:sz w:val="28"/>
          <w:szCs w:val="20"/>
        </w:rPr>
        <w:t>Тиазидные</w:t>
      </w:r>
      <w:proofErr w:type="spellEnd"/>
      <w:r w:rsidRPr="00AF7572">
        <w:rPr>
          <w:sz w:val="28"/>
          <w:szCs w:val="20"/>
        </w:rPr>
        <w:t xml:space="preserve"> и </w:t>
      </w:r>
      <w:proofErr w:type="spellStart"/>
      <w:r w:rsidRPr="00AF7572">
        <w:rPr>
          <w:sz w:val="28"/>
          <w:szCs w:val="20"/>
        </w:rPr>
        <w:t>тиазидоподобные</w:t>
      </w:r>
      <w:proofErr w:type="spellEnd"/>
      <w:r w:rsidRPr="00AF7572">
        <w:rPr>
          <w:sz w:val="28"/>
          <w:szCs w:val="20"/>
        </w:rPr>
        <w:t xml:space="preserve"> диуретики п</w:t>
      </w:r>
      <w:r w:rsidR="002D562A">
        <w:rPr>
          <w:sz w:val="28"/>
          <w:szCs w:val="20"/>
        </w:rPr>
        <w:t>ри определенной дозе достигают п</w:t>
      </w:r>
      <w:r w:rsidRPr="00AF7572">
        <w:rPr>
          <w:sz w:val="28"/>
          <w:szCs w:val="20"/>
        </w:rPr>
        <w:t xml:space="preserve">лато терапевтического эффекта, в то время как частота побочных эффектов продолжает увеличиваться при дальнейшем повышении дозы препарата. Поэтому не следует увеличивать дозу препарата, если при применении рекомендованной дозы </w:t>
      </w:r>
      <w:proofErr w:type="gramStart"/>
      <w:r w:rsidRPr="00AF7572">
        <w:rPr>
          <w:sz w:val="28"/>
          <w:szCs w:val="20"/>
        </w:rPr>
        <w:t>не достигнут</w:t>
      </w:r>
      <w:proofErr w:type="gramEnd"/>
      <w:r w:rsidRPr="00AF7572">
        <w:rPr>
          <w:sz w:val="28"/>
          <w:szCs w:val="20"/>
        </w:rPr>
        <w:t xml:space="preserve"> терапевтический эффект. </w:t>
      </w:r>
    </w:p>
    <w:p w:rsidR="00AF7572" w:rsidRPr="00AF7572" w:rsidRDefault="00AF7572" w:rsidP="00AF7572">
      <w:pPr>
        <w:spacing w:line="360" w:lineRule="auto"/>
        <w:jc w:val="both"/>
        <w:rPr>
          <w:sz w:val="28"/>
          <w:szCs w:val="20"/>
        </w:rPr>
      </w:pPr>
      <w:r w:rsidRPr="00AF7572">
        <w:rPr>
          <w:sz w:val="28"/>
          <w:szCs w:val="20"/>
        </w:rPr>
        <w:t xml:space="preserve">В коротких, средней длительности и долгосрочных исследованиях с участием пациентов с артериальной гипертензией было показано, что </w:t>
      </w:r>
      <w:proofErr w:type="spellStart"/>
      <w:r w:rsidRPr="00AF7572">
        <w:rPr>
          <w:sz w:val="28"/>
          <w:szCs w:val="20"/>
        </w:rPr>
        <w:t>индапамид</w:t>
      </w:r>
      <w:proofErr w:type="spellEnd"/>
      <w:r w:rsidRPr="00AF7572">
        <w:rPr>
          <w:sz w:val="28"/>
          <w:szCs w:val="20"/>
        </w:rPr>
        <w:t xml:space="preserve">: </w:t>
      </w:r>
    </w:p>
    <w:p w:rsidR="00AF7572" w:rsidRPr="00AF7572" w:rsidRDefault="00AF7572" w:rsidP="00AF7572">
      <w:pPr>
        <w:spacing w:line="360" w:lineRule="auto"/>
        <w:jc w:val="both"/>
        <w:rPr>
          <w:sz w:val="28"/>
          <w:szCs w:val="20"/>
        </w:rPr>
      </w:pPr>
      <w:r w:rsidRPr="00AF7572">
        <w:rPr>
          <w:sz w:val="28"/>
          <w:szCs w:val="20"/>
        </w:rPr>
        <w:t xml:space="preserve">- не влияет на показатели липидного обмена, в том числе на уровень триглицеридов, холестерина, липопротеинов низкой плотности и липопротеинов высокой плотности; </w:t>
      </w:r>
    </w:p>
    <w:p w:rsidR="00AF7572" w:rsidRDefault="002D562A" w:rsidP="00AF7572">
      <w:pPr>
        <w:spacing w:line="360" w:lineRule="auto"/>
        <w:jc w:val="both"/>
        <w:rPr>
          <w:sz w:val="28"/>
          <w:szCs w:val="20"/>
        </w:rPr>
      </w:pPr>
      <w:r>
        <w:rPr>
          <w:sz w:val="28"/>
          <w:szCs w:val="20"/>
        </w:rPr>
        <w:t xml:space="preserve">- </w:t>
      </w:r>
      <w:r w:rsidR="00AF7572" w:rsidRPr="00AF7572">
        <w:rPr>
          <w:sz w:val="28"/>
          <w:szCs w:val="20"/>
        </w:rPr>
        <w:t>не влияет на показатели обмена углеводов, в том числе у</w:t>
      </w:r>
      <w:r>
        <w:rPr>
          <w:sz w:val="28"/>
          <w:szCs w:val="20"/>
        </w:rPr>
        <w:t xml:space="preserve"> </w:t>
      </w:r>
      <w:r w:rsidR="00AF7572" w:rsidRPr="00AF7572">
        <w:rPr>
          <w:sz w:val="28"/>
          <w:szCs w:val="20"/>
        </w:rPr>
        <w:t xml:space="preserve">пациентов с сахарным диабетом. </w:t>
      </w:r>
    </w:p>
    <w:p w:rsidR="00756CC1" w:rsidRPr="00D13D31" w:rsidRDefault="00A952DE" w:rsidP="00AF7572">
      <w:pPr>
        <w:spacing w:line="360" w:lineRule="auto"/>
        <w:jc w:val="both"/>
        <w:rPr>
          <w:b/>
          <w:bCs/>
          <w:sz w:val="28"/>
          <w:szCs w:val="28"/>
        </w:rPr>
      </w:pPr>
      <w:r w:rsidRPr="00D13D31">
        <w:rPr>
          <w:b/>
          <w:bCs/>
          <w:sz w:val="28"/>
          <w:szCs w:val="28"/>
        </w:rPr>
        <w:t>Ф</w:t>
      </w:r>
      <w:r w:rsidR="001627FF" w:rsidRPr="00D13D31">
        <w:rPr>
          <w:b/>
          <w:bCs/>
          <w:sz w:val="28"/>
          <w:szCs w:val="28"/>
        </w:rPr>
        <w:t>армакокинетика</w:t>
      </w:r>
      <w:bookmarkEnd w:id="1"/>
    </w:p>
    <w:p w:rsidR="002D562A" w:rsidRPr="008A3EFC" w:rsidRDefault="002D562A" w:rsidP="002D562A">
      <w:pPr>
        <w:pStyle w:val="ab"/>
        <w:spacing w:line="360" w:lineRule="auto"/>
        <w:jc w:val="both"/>
        <w:rPr>
          <w:rFonts w:ascii="Times New Roman" w:eastAsia="Times New Roman" w:hAnsi="Times New Roman"/>
          <w:i/>
          <w:sz w:val="28"/>
          <w:szCs w:val="28"/>
          <w:lang w:eastAsia="ru-RU"/>
        </w:rPr>
      </w:pPr>
      <w:r w:rsidRPr="008A3EFC">
        <w:rPr>
          <w:rFonts w:ascii="Times New Roman" w:eastAsia="Times New Roman" w:hAnsi="Times New Roman"/>
          <w:i/>
          <w:sz w:val="28"/>
          <w:szCs w:val="28"/>
          <w:lang w:eastAsia="ru-RU"/>
        </w:rPr>
        <w:t xml:space="preserve">Всасывание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proofErr w:type="spellStart"/>
      <w:r w:rsidRPr="002D562A">
        <w:rPr>
          <w:rFonts w:ascii="Times New Roman" w:eastAsia="Times New Roman" w:hAnsi="Times New Roman"/>
          <w:sz w:val="28"/>
          <w:szCs w:val="28"/>
          <w:lang w:eastAsia="ru-RU"/>
        </w:rPr>
        <w:t>Биодоступность</w:t>
      </w:r>
      <w:proofErr w:type="spellEnd"/>
      <w:r w:rsidRPr="002D562A">
        <w:rPr>
          <w:rFonts w:ascii="Times New Roman" w:eastAsia="Times New Roman" w:hAnsi="Times New Roman"/>
          <w:sz w:val="28"/>
          <w:szCs w:val="28"/>
          <w:lang w:eastAsia="ru-RU"/>
        </w:rPr>
        <w:t xml:space="preserve"> </w:t>
      </w:r>
      <w:proofErr w:type="spellStart"/>
      <w:r w:rsidRPr="002D562A">
        <w:rPr>
          <w:rFonts w:ascii="Times New Roman" w:eastAsia="Times New Roman" w:hAnsi="Times New Roman"/>
          <w:sz w:val="28"/>
          <w:szCs w:val="28"/>
          <w:lang w:eastAsia="ru-RU"/>
        </w:rPr>
        <w:t>индапамида</w:t>
      </w:r>
      <w:proofErr w:type="spellEnd"/>
      <w:r w:rsidRPr="002D562A">
        <w:rPr>
          <w:rFonts w:ascii="Times New Roman" w:eastAsia="Times New Roman" w:hAnsi="Times New Roman"/>
          <w:sz w:val="28"/>
          <w:szCs w:val="28"/>
          <w:lang w:eastAsia="ru-RU"/>
        </w:rPr>
        <w:t xml:space="preserve"> — 93 %.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r w:rsidRPr="002D562A">
        <w:rPr>
          <w:rFonts w:ascii="Times New Roman" w:eastAsia="Times New Roman" w:hAnsi="Times New Roman"/>
          <w:sz w:val="28"/>
          <w:szCs w:val="28"/>
          <w:lang w:eastAsia="ru-RU"/>
        </w:rPr>
        <w:t>Максимальной концентрации в плазме крови (</w:t>
      </w:r>
      <w:proofErr w:type="spellStart"/>
      <w:r w:rsidRPr="002D562A">
        <w:rPr>
          <w:rFonts w:ascii="Times New Roman" w:eastAsia="Times New Roman" w:hAnsi="Times New Roman"/>
          <w:sz w:val="28"/>
          <w:szCs w:val="28"/>
          <w:lang w:eastAsia="ru-RU"/>
        </w:rPr>
        <w:t>T</w:t>
      </w:r>
      <w:r w:rsidRPr="002D562A">
        <w:rPr>
          <w:rFonts w:ascii="Times New Roman" w:eastAsia="Times New Roman" w:hAnsi="Times New Roman"/>
          <w:sz w:val="28"/>
          <w:szCs w:val="28"/>
          <w:vertAlign w:val="subscript"/>
          <w:lang w:eastAsia="ru-RU"/>
        </w:rPr>
        <w:t>max</w:t>
      </w:r>
      <w:proofErr w:type="spellEnd"/>
      <w:r w:rsidRPr="002D562A">
        <w:rPr>
          <w:rFonts w:ascii="Times New Roman" w:eastAsia="Times New Roman" w:hAnsi="Times New Roman"/>
          <w:sz w:val="28"/>
          <w:szCs w:val="28"/>
          <w:lang w:eastAsia="ru-RU"/>
        </w:rPr>
        <w:t xml:space="preserve">) препарат достигает через 1-2 часа после перорального приема однократной дозы 2,5 мг. </w:t>
      </w:r>
    </w:p>
    <w:p w:rsidR="002D562A" w:rsidRPr="008A3EFC" w:rsidRDefault="002D562A" w:rsidP="002D562A">
      <w:pPr>
        <w:pStyle w:val="ab"/>
        <w:spacing w:line="360" w:lineRule="auto"/>
        <w:jc w:val="both"/>
        <w:rPr>
          <w:rFonts w:ascii="Times New Roman" w:eastAsia="Times New Roman" w:hAnsi="Times New Roman"/>
          <w:i/>
          <w:sz w:val="28"/>
          <w:szCs w:val="28"/>
          <w:lang w:eastAsia="ru-RU"/>
        </w:rPr>
      </w:pPr>
      <w:r w:rsidRPr="008A3EFC">
        <w:rPr>
          <w:rFonts w:ascii="Times New Roman" w:eastAsia="Times New Roman" w:hAnsi="Times New Roman"/>
          <w:i/>
          <w:sz w:val="28"/>
          <w:szCs w:val="28"/>
          <w:lang w:eastAsia="ru-RU"/>
        </w:rPr>
        <w:lastRenderedPageBreak/>
        <w:t xml:space="preserve">Распределение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r w:rsidRPr="002D562A">
        <w:rPr>
          <w:rFonts w:ascii="Times New Roman" w:eastAsia="Times New Roman" w:hAnsi="Times New Roman"/>
          <w:sz w:val="28"/>
          <w:szCs w:val="28"/>
          <w:lang w:eastAsia="ru-RU"/>
        </w:rPr>
        <w:t xml:space="preserve">Около 75 % препарата связывается с белками плазмы крови. Период полувыведения препарата составляет 14-24 часа (в среднем 18 часов).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r w:rsidRPr="002D562A">
        <w:rPr>
          <w:rFonts w:ascii="Times New Roman" w:eastAsia="Times New Roman" w:hAnsi="Times New Roman"/>
          <w:sz w:val="28"/>
          <w:szCs w:val="28"/>
          <w:lang w:eastAsia="ru-RU"/>
        </w:rPr>
        <w:t xml:space="preserve">При регулярном приеме препарата равновесная концентрация </w:t>
      </w:r>
      <w:proofErr w:type="spellStart"/>
      <w:r w:rsidRPr="002D562A">
        <w:rPr>
          <w:rFonts w:ascii="Times New Roman" w:eastAsia="Times New Roman" w:hAnsi="Times New Roman"/>
          <w:sz w:val="28"/>
          <w:szCs w:val="28"/>
          <w:lang w:eastAsia="ru-RU"/>
        </w:rPr>
        <w:t>индапамида</w:t>
      </w:r>
      <w:proofErr w:type="spellEnd"/>
      <w:r w:rsidRPr="002D562A">
        <w:rPr>
          <w:rFonts w:ascii="Times New Roman" w:eastAsia="Times New Roman" w:hAnsi="Times New Roman"/>
          <w:sz w:val="28"/>
          <w:szCs w:val="28"/>
          <w:lang w:eastAsia="ru-RU"/>
        </w:rPr>
        <w:t xml:space="preserve"> в плазме крови увеличивается (по сравнению с однократным приемом). Вместе с тем, достигнутое равновесное состояние сохраняется в течение длительного периода времени, свидетельствуя о том, что повторный прием препарата не сопровождается накоплением </w:t>
      </w:r>
      <w:proofErr w:type="spellStart"/>
      <w:r w:rsidRPr="002D562A">
        <w:rPr>
          <w:rFonts w:ascii="Times New Roman" w:eastAsia="Times New Roman" w:hAnsi="Times New Roman"/>
          <w:sz w:val="28"/>
          <w:szCs w:val="28"/>
          <w:lang w:eastAsia="ru-RU"/>
        </w:rPr>
        <w:t>индапамида</w:t>
      </w:r>
      <w:proofErr w:type="spellEnd"/>
      <w:r w:rsidRPr="002D562A">
        <w:rPr>
          <w:rFonts w:ascii="Times New Roman" w:eastAsia="Times New Roman" w:hAnsi="Times New Roman"/>
          <w:sz w:val="28"/>
          <w:szCs w:val="28"/>
          <w:lang w:eastAsia="ru-RU"/>
        </w:rPr>
        <w:t xml:space="preserve"> в организме. </w:t>
      </w:r>
    </w:p>
    <w:p w:rsidR="002D562A" w:rsidRPr="008A3EFC" w:rsidRDefault="002D562A" w:rsidP="002D562A">
      <w:pPr>
        <w:pStyle w:val="ab"/>
        <w:spacing w:line="360" w:lineRule="auto"/>
        <w:jc w:val="both"/>
        <w:rPr>
          <w:rFonts w:ascii="Times New Roman" w:eastAsia="Times New Roman" w:hAnsi="Times New Roman"/>
          <w:i/>
          <w:sz w:val="28"/>
          <w:szCs w:val="28"/>
          <w:lang w:eastAsia="ru-RU"/>
        </w:rPr>
      </w:pPr>
      <w:r w:rsidRPr="008A3EFC">
        <w:rPr>
          <w:rFonts w:ascii="Times New Roman" w:eastAsia="Times New Roman" w:hAnsi="Times New Roman"/>
          <w:i/>
          <w:sz w:val="28"/>
          <w:szCs w:val="28"/>
          <w:lang w:eastAsia="ru-RU"/>
        </w:rPr>
        <w:t xml:space="preserve">Выведение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proofErr w:type="spellStart"/>
      <w:r w:rsidRPr="002D562A">
        <w:rPr>
          <w:rFonts w:ascii="Times New Roman" w:eastAsia="Times New Roman" w:hAnsi="Times New Roman"/>
          <w:sz w:val="28"/>
          <w:szCs w:val="28"/>
          <w:lang w:eastAsia="ru-RU"/>
        </w:rPr>
        <w:t>Индапамид</w:t>
      </w:r>
      <w:proofErr w:type="spellEnd"/>
      <w:r w:rsidRPr="002D562A">
        <w:rPr>
          <w:rFonts w:ascii="Times New Roman" w:eastAsia="Times New Roman" w:hAnsi="Times New Roman"/>
          <w:sz w:val="28"/>
          <w:szCs w:val="28"/>
          <w:lang w:eastAsia="ru-RU"/>
        </w:rPr>
        <w:t xml:space="preserve"> выводится в виде неактивных метаболитов в основном с мочой (60-80 % от введенной дозы). </w:t>
      </w:r>
    </w:p>
    <w:p w:rsidR="002D562A" w:rsidRPr="002D562A" w:rsidRDefault="002D562A" w:rsidP="002D562A">
      <w:pPr>
        <w:pStyle w:val="ab"/>
        <w:spacing w:line="360" w:lineRule="auto"/>
        <w:jc w:val="both"/>
        <w:rPr>
          <w:rFonts w:ascii="Times New Roman" w:eastAsia="Times New Roman" w:hAnsi="Times New Roman"/>
          <w:sz w:val="28"/>
          <w:szCs w:val="28"/>
          <w:lang w:eastAsia="ru-RU"/>
        </w:rPr>
      </w:pPr>
      <w:r w:rsidRPr="002D562A">
        <w:rPr>
          <w:rFonts w:ascii="Times New Roman" w:eastAsia="Times New Roman" w:hAnsi="Times New Roman"/>
          <w:sz w:val="28"/>
          <w:szCs w:val="28"/>
          <w:lang w:eastAsia="ru-RU"/>
        </w:rPr>
        <w:t xml:space="preserve">Не более 5 % </w:t>
      </w:r>
      <w:proofErr w:type="spellStart"/>
      <w:r w:rsidRPr="002D562A">
        <w:rPr>
          <w:rFonts w:ascii="Times New Roman" w:eastAsia="Times New Roman" w:hAnsi="Times New Roman"/>
          <w:sz w:val="28"/>
          <w:szCs w:val="28"/>
          <w:lang w:eastAsia="ru-RU"/>
        </w:rPr>
        <w:t>индапамида</w:t>
      </w:r>
      <w:proofErr w:type="spellEnd"/>
      <w:r w:rsidRPr="002D562A">
        <w:rPr>
          <w:rFonts w:ascii="Times New Roman" w:eastAsia="Times New Roman" w:hAnsi="Times New Roman"/>
          <w:sz w:val="28"/>
          <w:szCs w:val="28"/>
          <w:lang w:eastAsia="ru-RU"/>
        </w:rPr>
        <w:t xml:space="preserve"> выводится из организма с мочой в неизмененном виде. </w:t>
      </w:r>
    </w:p>
    <w:p w:rsidR="002D562A" w:rsidRDefault="002D562A" w:rsidP="002D562A">
      <w:pPr>
        <w:pStyle w:val="ab"/>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2D562A">
        <w:rPr>
          <w:rFonts w:ascii="Times New Roman" w:eastAsia="Times New Roman" w:hAnsi="Times New Roman"/>
          <w:sz w:val="28"/>
          <w:szCs w:val="28"/>
          <w:lang w:eastAsia="ru-RU"/>
        </w:rPr>
        <w:t xml:space="preserve"> пациентов с почечной недостаточностью фармакокинетические свойства </w:t>
      </w:r>
      <w:proofErr w:type="spellStart"/>
      <w:r w:rsidRPr="002D562A">
        <w:rPr>
          <w:rFonts w:ascii="Times New Roman" w:eastAsia="Times New Roman" w:hAnsi="Times New Roman"/>
          <w:sz w:val="28"/>
          <w:szCs w:val="28"/>
          <w:lang w:eastAsia="ru-RU"/>
        </w:rPr>
        <w:t>индапамида</w:t>
      </w:r>
      <w:proofErr w:type="spellEnd"/>
      <w:r w:rsidRPr="002D562A">
        <w:rPr>
          <w:rFonts w:ascii="Times New Roman" w:eastAsia="Times New Roman" w:hAnsi="Times New Roman"/>
          <w:sz w:val="28"/>
          <w:szCs w:val="28"/>
          <w:lang w:eastAsia="ru-RU"/>
        </w:rPr>
        <w:t xml:space="preserve"> не изменяются. </w:t>
      </w:r>
    </w:p>
    <w:p w:rsidR="00756CC1" w:rsidRPr="009C7545" w:rsidRDefault="00C247D8" w:rsidP="003075B7">
      <w:pPr>
        <w:spacing w:line="360" w:lineRule="auto"/>
        <w:jc w:val="both"/>
        <w:rPr>
          <w:b/>
          <w:bCs/>
          <w:sz w:val="28"/>
          <w:szCs w:val="28"/>
        </w:rPr>
      </w:pPr>
      <w:bookmarkStart w:id="2" w:name="Indication"/>
      <w:r w:rsidRPr="009C7545">
        <w:rPr>
          <w:b/>
          <w:bCs/>
          <w:sz w:val="28"/>
          <w:szCs w:val="28"/>
        </w:rPr>
        <w:t>П</w:t>
      </w:r>
      <w:r w:rsidR="009B252E" w:rsidRPr="009C7545">
        <w:rPr>
          <w:b/>
          <w:bCs/>
          <w:sz w:val="28"/>
          <w:szCs w:val="28"/>
        </w:rPr>
        <w:t>оказания к применению</w:t>
      </w:r>
      <w:bookmarkEnd w:id="2"/>
    </w:p>
    <w:p w:rsidR="00B541C6" w:rsidRPr="009048CA" w:rsidRDefault="002D562A" w:rsidP="009048CA">
      <w:pPr>
        <w:spacing w:line="360" w:lineRule="auto"/>
        <w:jc w:val="both"/>
        <w:rPr>
          <w:bCs/>
          <w:sz w:val="28"/>
          <w:szCs w:val="28"/>
        </w:rPr>
      </w:pPr>
      <w:r w:rsidRPr="009048CA">
        <w:rPr>
          <w:bCs/>
          <w:sz w:val="28"/>
          <w:szCs w:val="28"/>
        </w:rPr>
        <w:t>А</w:t>
      </w:r>
      <w:r w:rsidR="009048CA" w:rsidRPr="009048CA">
        <w:rPr>
          <w:bCs/>
          <w:sz w:val="28"/>
          <w:szCs w:val="28"/>
        </w:rPr>
        <w:t>ртериальная гипертензия у взрослых</w:t>
      </w:r>
      <w:r w:rsidR="00A73918">
        <w:rPr>
          <w:bCs/>
          <w:sz w:val="28"/>
          <w:szCs w:val="28"/>
        </w:rPr>
        <w:t>.</w:t>
      </w:r>
    </w:p>
    <w:p w:rsidR="002857BF" w:rsidRDefault="00C247D8" w:rsidP="003075B7">
      <w:pPr>
        <w:pStyle w:val="a7"/>
        <w:spacing w:line="360" w:lineRule="auto"/>
        <w:jc w:val="both"/>
        <w:rPr>
          <w:b/>
        </w:rPr>
      </w:pPr>
      <w:r w:rsidRPr="009C7545">
        <w:rPr>
          <w:b/>
        </w:rPr>
        <w:t>П</w:t>
      </w:r>
      <w:r w:rsidR="00232773" w:rsidRPr="009C7545">
        <w:rPr>
          <w:b/>
        </w:rPr>
        <w:t>ротивопоказания</w:t>
      </w:r>
    </w:p>
    <w:p w:rsidR="009048CA" w:rsidRPr="009048CA" w:rsidRDefault="009048CA" w:rsidP="008A3EFC">
      <w:pPr>
        <w:pStyle w:val="af"/>
        <w:numPr>
          <w:ilvl w:val="0"/>
          <w:numId w:val="5"/>
        </w:numPr>
        <w:spacing w:line="360" w:lineRule="auto"/>
        <w:ind w:left="426"/>
        <w:jc w:val="both"/>
        <w:rPr>
          <w:bCs/>
          <w:sz w:val="28"/>
          <w:szCs w:val="28"/>
        </w:rPr>
      </w:pPr>
      <w:bookmarkStart w:id="3" w:name="Warning"/>
      <w:r w:rsidRPr="009048CA">
        <w:rPr>
          <w:bCs/>
          <w:sz w:val="28"/>
          <w:szCs w:val="28"/>
        </w:rPr>
        <w:t xml:space="preserve">повышенная чувствительность к действующему веществу, другим производным </w:t>
      </w:r>
      <w:proofErr w:type="spellStart"/>
      <w:r w:rsidRPr="009048CA">
        <w:rPr>
          <w:bCs/>
          <w:sz w:val="28"/>
          <w:szCs w:val="28"/>
        </w:rPr>
        <w:t>сульфонамида</w:t>
      </w:r>
      <w:proofErr w:type="spellEnd"/>
      <w:r w:rsidRPr="009048CA">
        <w:rPr>
          <w:bCs/>
          <w:sz w:val="28"/>
          <w:szCs w:val="28"/>
        </w:rPr>
        <w:t xml:space="preserve"> или любому из вспомогательны</w:t>
      </w:r>
      <w:r>
        <w:rPr>
          <w:bCs/>
          <w:sz w:val="28"/>
          <w:szCs w:val="28"/>
        </w:rPr>
        <w:t>х веще</w:t>
      </w:r>
      <w:proofErr w:type="gramStart"/>
      <w:r>
        <w:rPr>
          <w:bCs/>
          <w:sz w:val="28"/>
          <w:szCs w:val="28"/>
        </w:rPr>
        <w:t>ств пр</w:t>
      </w:r>
      <w:proofErr w:type="gramEnd"/>
      <w:r>
        <w:rPr>
          <w:bCs/>
          <w:sz w:val="28"/>
          <w:szCs w:val="28"/>
        </w:rPr>
        <w:t>епарата (см. раздел</w:t>
      </w:r>
      <w:r w:rsidR="00FE32B4">
        <w:rPr>
          <w:bCs/>
          <w:sz w:val="28"/>
          <w:szCs w:val="28"/>
        </w:rPr>
        <w:t xml:space="preserve"> </w:t>
      </w:r>
      <w:r w:rsidRPr="009048CA">
        <w:rPr>
          <w:bCs/>
          <w:sz w:val="28"/>
          <w:szCs w:val="28"/>
        </w:rPr>
        <w:t xml:space="preserve">«Состав»); </w:t>
      </w:r>
    </w:p>
    <w:p w:rsidR="009048CA" w:rsidRPr="009048CA" w:rsidRDefault="009048CA" w:rsidP="008A3EFC">
      <w:pPr>
        <w:pStyle w:val="af"/>
        <w:numPr>
          <w:ilvl w:val="0"/>
          <w:numId w:val="5"/>
        </w:numPr>
        <w:spacing w:line="360" w:lineRule="auto"/>
        <w:ind w:left="426"/>
        <w:jc w:val="both"/>
        <w:rPr>
          <w:bCs/>
          <w:sz w:val="28"/>
          <w:szCs w:val="28"/>
        </w:rPr>
      </w:pPr>
      <w:r w:rsidRPr="009048CA">
        <w:rPr>
          <w:bCs/>
          <w:sz w:val="28"/>
          <w:szCs w:val="28"/>
        </w:rPr>
        <w:t xml:space="preserve">тяжелая почечная недостаточность (клиренс креатинина менее 30 мл/мин); </w:t>
      </w:r>
    </w:p>
    <w:p w:rsidR="009048CA" w:rsidRPr="009048CA" w:rsidRDefault="009048CA" w:rsidP="008A3EFC">
      <w:pPr>
        <w:pStyle w:val="af"/>
        <w:numPr>
          <w:ilvl w:val="0"/>
          <w:numId w:val="5"/>
        </w:numPr>
        <w:spacing w:line="360" w:lineRule="auto"/>
        <w:ind w:left="426"/>
        <w:jc w:val="both"/>
        <w:rPr>
          <w:bCs/>
          <w:sz w:val="28"/>
          <w:szCs w:val="28"/>
        </w:rPr>
      </w:pPr>
      <w:r w:rsidRPr="009048CA">
        <w:rPr>
          <w:bCs/>
          <w:sz w:val="28"/>
          <w:szCs w:val="28"/>
        </w:rPr>
        <w:t xml:space="preserve">печеночная энцефалопатия или тяжелое нарушение функции печени; </w:t>
      </w:r>
    </w:p>
    <w:p w:rsidR="009048CA" w:rsidRPr="009048CA" w:rsidRDefault="009048CA" w:rsidP="008A3EFC">
      <w:pPr>
        <w:pStyle w:val="af"/>
        <w:numPr>
          <w:ilvl w:val="0"/>
          <w:numId w:val="5"/>
        </w:numPr>
        <w:spacing w:line="360" w:lineRule="auto"/>
        <w:ind w:left="426"/>
        <w:jc w:val="both"/>
        <w:rPr>
          <w:bCs/>
          <w:sz w:val="28"/>
          <w:szCs w:val="28"/>
        </w:rPr>
      </w:pPr>
      <w:r w:rsidRPr="009048CA">
        <w:rPr>
          <w:bCs/>
          <w:sz w:val="28"/>
          <w:szCs w:val="28"/>
        </w:rPr>
        <w:t xml:space="preserve">гипокалиемия; </w:t>
      </w:r>
    </w:p>
    <w:p w:rsidR="009048CA" w:rsidRPr="009048CA" w:rsidRDefault="009048CA" w:rsidP="008A3EFC">
      <w:pPr>
        <w:pStyle w:val="af"/>
        <w:numPr>
          <w:ilvl w:val="0"/>
          <w:numId w:val="5"/>
        </w:numPr>
        <w:spacing w:line="360" w:lineRule="auto"/>
        <w:ind w:left="426"/>
        <w:jc w:val="both"/>
        <w:rPr>
          <w:bCs/>
          <w:sz w:val="28"/>
          <w:szCs w:val="28"/>
        </w:rPr>
      </w:pPr>
      <w:r w:rsidRPr="009048CA">
        <w:rPr>
          <w:bCs/>
          <w:sz w:val="28"/>
          <w:szCs w:val="28"/>
        </w:rPr>
        <w:t xml:space="preserve">пациенты с непереносимостью галактозы, дефицитом </w:t>
      </w:r>
      <w:proofErr w:type="spellStart"/>
      <w:r w:rsidRPr="009048CA">
        <w:rPr>
          <w:bCs/>
          <w:sz w:val="28"/>
          <w:szCs w:val="28"/>
        </w:rPr>
        <w:t>лактазы</w:t>
      </w:r>
      <w:proofErr w:type="spellEnd"/>
      <w:r w:rsidRPr="009048CA">
        <w:rPr>
          <w:bCs/>
          <w:sz w:val="28"/>
          <w:szCs w:val="28"/>
        </w:rPr>
        <w:t xml:space="preserve">, </w:t>
      </w:r>
      <w:proofErr w:type="spellStart"/>
      <w:r w:rsidRPr="009048CA">
        <w:rPr>
          <w:bCs/>
          <w:sz w:val="28"/>
          <w:szCs w:val="28"/>
        </w:rPr>
        <w:t>глюкозо-галактозной</w:t>
      </w:r>
      <w:proofErr w:type="spellEnd"/>
      <w:r w:rsidRPr="009048CA">
        <w:rPr>
          <w:bCs/>
          <w:sz w:val="28"/>
          <w:szCs w:val="28"/>
        </w:rPr>
        <w:t xml:space="preserve"> </w:t>
      </w:r>
      <w:proofErr w:type="spellStart"/>
      <w:r w:rsidRPr="009048CA">
        <w:rPr>
          <w:bCs/>
          <w:sz w:val="28"/>
          <w:szCs w:val="28"/>
        </w:rPr>
        <w:t>мальабсорбцией</w:t>
      </w:r>
      <w:proofErr w:type="spellEnd"/>
      <w:r w:rsidRPr="009048CA">
        <w:rPr>
          <w:bCs/>
          <w:sz w:val="28"/>
          <w:szCs w:val="28"/>
        </w:rPr>
        <w:t xml:space="preserve">; </w:t>
      </w:r>
    </w:p>
    <w:p w:rsidR="009048CA" w:rsidRPr="009048CA" w:rsidRDefault="009048CA" w:rsidP="008A3EFC">
      <w:pPr>
        <w:pStyle w:val="af"/>
        <w:numPr>
          <w:ilvl w:val="0"/>
          <w:numId w:val="5"/>
        </w:numPr>
        <w:spacing w:line="360" w:lineRule="auto"/>
        <w:ind w:left="426"/>
        <w:jc w:val="both"/>
        <w:rPr>
          <w:bCs/>
          <w:sz w:val="28"/>
          <w:szCs w:val="28"/>
        </w:rPr>
      </w:pPr>
      <w:r w:rsidRPr="009048CA">
        <w:rPr>
          <w:bCs/>
          <w:sz w:val="28"/>
          <w:szCs w:val="28"/>
        </w:rPr>
        <w:t xml:space="preserve">беременность и период грудного вскармливания (см. раздел «Применение при беременности и в период грудного вскармливания»); </w:t>
      </w:r>
    </w:p>
    <w:p w:rsidR="009048CA" w:rsidRPr="009048CA" w:rsidRDefault="009048CA" w:rsidP="008A3EFC">
      <w:pPr>
        <w:pStyle w:val="af"/>
        <w:numPr>
          <w:ilvl w:val="0"/>
          <w:numId w:val="5"/>
        </w:numPr>
        <w:spacing w:line="360" w:lineRule="auto"/>
        <w:ind w:left="426"/>
        <w:jc w:val="both"/>
        <w:rPr>
          <w:b/>
          <w:bCs/>
          <w:sz w:val="28"/>
          <w:szCs w:val="28"/>
        </w:rPr>
      </w:pPr>
      <w:r w:rsidRPr="009048CA">
        <w:rPr>
          <w:bCs/>
          <w:sz w:val="28"/>
          <w:szCs w:val="28"/>
        </w:rPr>
        <w:t>детский возраст до 18 лет.</w:t>
      </w:r>
    </w:p>
    <w:p w:rsidR="008A3EFC" w:rsidRDefault="008A3EFC" w:rsidP="009048CA">
      <w:pPr>
        <w:spacing w:line="360" w:lineRule="auto"/>
        <w:jc w:val="both"/>
        <w:rPr>
          <w:b/>
          <w:bCs/>
          <w:sz w:val="28"/>
          <w:szCs w:val="28"/>
        </w:rPr>
      </w:pPr>
    </w:p>
    <w:p w:rsidR="002857BF" w:rsidRPr="009048CA" w:rsidRDefault="00394532" w:rsidP="009048CA">
      <w:pPr>
        <w:spacing w:line="360" w:lineRule="auto"/>
        <w:jc w:val="both"/>
        <w:rPr>
          <w:b/>
          <w:bCs/>
          <w:sz w:val="28"/>
          <w:szCs w:val="28"/>
        </w:rPr>
      </w:pPr>
      <w:r w:rsidRPr="009048CA">
        <w:rPr>
          <w:b/>
          <w:bCs/>
          <w:sz w:val="28"/>
          <w:szCs w:val="28"/>
        </w:rPr>
        <w:lastRenderedPageBreak/>
        <w:t xml:space="preserve">С </w:t>
      </w:r>
      <w:r w:rsidR="007E0A44" w:rsidRPr="009048CA">
        <w:rPr>
          <w:b/>
          <w:bCs/>
          <w:sz w:val="28"/>
          <w:szCs w:val="28"/>
        </w:rPr>
        <w:t>осторожностью</w:t>
      </w:r>
      <w:bookmarkEnd w:id="3"/>
    </w:p>
    <w:p w:rsidR="009048CA" w:rsidRDefault="009048CA" w:rsidP="009048CA">
      <w:pPr>
        <w:spacing w:line="360" w:lineRule="auto"/>
        <w:jc w:val="both"/>
        <w:rPr>
          <w:bCs/>
          <w:sz w:val="28"/>
          <w:szCs w:val="28"/>
        </w:rPr>
      </w:pPr>
      <w:r w:rsidRPr="009048CA">
        <w:rPr>
          <w:bCs/>
          <w:sz w:val="28"/>
          <w:szCs w:val="28"/>
        </w:rPr>
        <w:t>Нарушения функции печени и почек легкой или умеренной степени тяжести, нарушения водно-электролитного ба</w:t>
      </w:r>
      <w:r>
        <w:rPr>
          <w:bCs/>
          <w:sz w:val="28"/>
          <w:szCs w:val="28"/>
        </w:rPr>
        <w:t xml:space="preserve">ланса, применение у пациентов с увеличенным интервалом </w:t>
      </w:r>
      <w:proofErr w:type="gramStart"/>
      <w:r>
        <w:rPr>
          <w:bCs/>
          <w:sz w:val="28"/>
          <w:szCs w:val="28"/>
        </w:rPr>
        <w:t>Q</w:t>
      </w:r>
      <w:proofErr w:type="gramEnd"/>
      <w:r>
        <w:rPr>
          <w:bCs/>
          <w:sz w:val="28"/>
          <w:szCs w:val="28"/>
        </w:rPr>
        <w:t>Т</w:t>
      </w:r>
      <w:r w:rsidRPr="009048CA">
        <w:rPr>
          <w:bCs/>
          <w:sz w:val="28"/>
          <w:szCs w:val="28"/>
        </w:rPr>
        <w:t xml:space="preserve"> на ЭКГ, применение у истощённых пациентов, у пациентов, получающих одновременную терапию с препаратами, которые могут увеличивать интервал QT, применение с лекарственными препаратами, способными вызвать полиморфную желудочковую </w:t>
      </w:r>
      <w:r>
        <w:rPr>
          <w:bCs/>
          <w:sz w:val="28"/>
          <w:szCs w:val="28"/>
        </w:rPr>
        <w:t xml:space="preserve">тахикардию типа </w:t>
      </w:r>
      <w:r w:rsidRPr="009048CA">
        <w:rPr>
          <w:bCs/>
          <w:sz w:val="28"/>
          <w:szCs w:val="28"/>
        </w:rPr>
        <w:t>«пируэт», препаратами лития, лекарственными препаратами, способными вызывать гипокалиемию, сер</w:t>
      </w:r>
      <w:r>
        <w:rPr>
          <w:bCs/>
          <w:sz w:val="28"/>
          <w:szCs w:val="28"/>
        </w:rPr>
        <w:t xml:space="preserve">дечными гликозидами (см. раздел </w:t>
      </w:r>
      <w:r w:rsidRPr="009048CA">
        <w:rPr>
          <w:bCs/>
          <w:sz w:val="28"/>
          <w:szCs w:val="28"/>
        </w:rPr>
        <w:t>«</w:t>
      </w:r>
      <w:proofErr w:type="gramStart"/>
      <w:r w:rsidRPr="009048CA">
        <w:rPr>
          <w:bCs/>
          <w:sz w:val="28"/>
          <w:szCs w:val="28"/>
        </w:rPr>
        <w:t xml:space="preserve">Взаимодействие с другими лекарственными средствами»), периферические отеки или асцит, ишемическая болезнь сердца, сердечная недостаточность, </w:t>
      </w:r>
      <w:proofErr w:type="spellStart"/>
      <w:r w:rsidRPr="009048CA">
        <w:rPr>
          <w:bCs/>
          <w:sz w:val="28"/>
          <w:szCs w:val="28"/>
        </w:rPr>
        <w:t>гиперпаратиреоз</w:t>
      </w:r>
      <w:proofErr w:type="spellEnd"/>
      <w:r w:rsidRPr="009048CA">
        <w:rPr>
          <w:bCs/>
          <w:sz w:val="28"/>
          <w:szCs w:val="28"/>
        </w:rPr>
        <w:t xml:space="preserve">, сахарный диабет, </w:t>
      </w:r>
      <w:proofErr w:type="spellStart"/>
      <w:r w:rsidRPr="009048CA">
        <w:rPr>
          <w:bCs/>
          <w:sz w:val="28"/>
          <w:szCs w:val="28"/>
        </w:rPr>
        <w:t>гиперурикемия</w:t>
      </w:r>
      <w:proofErr w:type="spellEnd"/>
      <w:r w:rsidRPr="009048CA">
        <w:rPr>
          <w:bCs/>
          <w:sz w:val="28"/>
          <w:szCs w:val="28"/>
        </w:rPr>
        <w:t xml:space="preserve"> и подагра.</w:t>
      </w:r>
      <w:proofErr w:type="gramEnd"/>
    </w:p>
    <w:p w:rsidR="00B702F2" w:rsidRPr="009C7545" w:rsidRDefault="00B77CDC" w:rsidP="009048CA">
      <w:pPr>
        <w:spacing w:line="360" w:lineRule="auto"/>
        <w:rPr>
          <w:b/>
          <w:sz w:val="28"/>
          <w:szCs w:val="28"/>
        </w:rPr>
      </w:pPr>
      <w:r>
        <w:rPr>
          <w:b/>
          <w:sz w:val="28"/>
          <w:szCs w:val="28"/>
        </w:rPr>
        <w:t>П</w:t>
      </w:r>
      <w:r w:rsidRPr="009C7545">
        <w:rPr>
          <w:b/>
          <w:sz w:val="28"/>
          <w:szCs w:val="28"/>
        </w:rPr>
        <w:t>рименение при беременности и</w:t>
      </w:r>
      <w:r>
        <w:rPr>
          <w:b/>
          <w:sz w:val="28"/>
          <w:szCs w:val="28"/>
        </w:rPr>
        <w:t xml:space="preserve"> в</w:t>
      </w:r>
      <w:r w:rsidRPr="009C7545">
        <w:rPr>
          <w:b/>
          <w:sz w:val="28"/>
          <w:szCs w:val="28"/>
        </w:rPr>
        <w:t xml:space="preserve"> период грудного вскармливания</w:t>
      </w:r>
    </w:p>
    <w:p w:rsidR="009048CA" w:rsidRPr="008A3EFC" w:rsidRDefault="009048CA" w:rsidP="009048CA">
      <w:pPr>
        <w:spacing w:line="360" w:lineRule="auto"/>
        <w:rPr>
          <w:rFonts w:eastAsia="Calibri"/>
          <w:i/>
          <w:sz w:val="28"/>
          <w:szCs w:val="28"/>
          <w:lang w:eastAsia="en-US"/>
        </w:rPr>
      </w:pPr>
      <w:r w:rsidRPr="008A3EFC">
        <w:rPr>
          <w:rFonts w:eastAsia="Calibri"/>
          <w:i/>
          <w:sz w:val="28"/>
          <w:szCs w:val="28"/>
          <w:lang w:eastAsia="en-US"/>
        </w:rPr>
        <w:t xml:space="preserve">Беременность </w:t>
      </w:r>
    </w:p>
    <w:p w:rsidR="009048CA" w:rsidRPr="009048CA" w:rsidRDefault="009048CA" w:rsidP="00590DD7">
      <w:pPr>
        <w:spacing w:line="360" w:lineRule="auto"/>
        <w:jc w:val="both"/>
        <w:rPr>
          <w:rFonts w:eastAsia="Calibri"/>
          <w:sz w:val="28"/>
          <w:szCs w:val="28"/>
          <w:lang w:eastAsia="en-US"/>
        </w:rPr>
      </w:pPr>
      <w:r w:rsidRPr="009048CA">
        <w:rPr>
          <w:rFonts w:eastAsia="Calibri"/>
          <w:sz w:val="28"/>
          <w:szCs w:val="28"/>
          <w:lang w:eastAsia="en-US"/>
        </w:rPr>
        <w:t xml:space="preserve">В настоящий момент нет достаточного количества данных о применении </w:t>
      </w:r>
      <w:proofErr w:type="spellStart"/>
      <w:r w:rsidRPr="009048CA">
        <w:rPr>
          <w:rFonts w:eastAsia="Calibri"/>
          <w:sz w:val="28"/>
          <w:szCs w:val="28"/>
          <w:lang w:eastAsia="en-US"/>
        </w:rPr>
        <w:t>индапамида</w:t>
      </w:r>
      <w:proofErr w:type="spellEnd"/>
      <w:r w:rsidRPr="009048CA">
        <w:rPr>
          <w:rFonts w:eastAsia="Calibri"/>
          <w:sz w:val="28"/>
          <w:szCs w:val="28"/>
          <w:lang w:eastAsia="en-US"/>
        </w:rPr>
        <w:t xml:space="preserve"> во время беременности (описано менее 300 случаев). </w:t>
      </w:r>
    </w:p>
    <w:p w:rsidR="009048CA" w:rsidRPr="009048CA" w:rsidRDefault="009048CA" w:rsidP="00590DD7">
      <w:pPr>
        <w:spacing w:line="360" w:lineRule="auto"/>
        <w:jc w:val="both"/>
        <w:rPr>
          <w:rFonts w:eastAsia="Calibri"/>
          <w:sz w:val="28"/>
          <w:szCs w:val="28"/>
          <w:lang w:eastAsia="en-US"/>
        </w:rPr>
      </w:pPr>
      <w:r w:rsidRPr="009048CA">
        <w:rPr>
          <w:rFonts w:eastAsia="Calibri"/>
          <w:sz w:val="28"/>
          <w:szCs w:val="28"/>
          <w:lang w:eastAsia="en-US"/>
        </w:rPr>
        <w:t xml:space="preserve">Длительное применение тиазидных диуретиков в III триместре беременности может вызывать </w:t>
      </w:r>
      <w:proofErr w:type="spellStart"/>
      <w:r w:rsidRPr="009048CA">
        <w:rPr>
          <w:rFonts w:eastAsia="Calibri"/>
          <w:sz w:val="28"/>
          <w:szCs w:val="28"/>
          <w:lang w:eastAsia="en-US"/>
        </w:rPr>
        <w:t>гиповолемию</w:t>
      </w:r>
      <w:proofErr w:type="spellEnd"/>
      <w:r w:rsidRPr="009048CA">
        <w:rPr>
          <w:rFonts w:eastAsia="Calibri"/>
          <w:sz w:val="28"/>
          <w:szCs w:val="28"/>
          <w:lang w:eastAsia="en-US"/>
        </w:rPr>
        <w:t xml:space="preserve"> у матери и</w:t>
      </w:r>
      <w:r w:rsidR="00590DD7">
        <w:rPr>
          <w:rFonts w:eastAsia="Calibri"/>
          <w:sz w:val="28"/>
          <w:szCs w:val="28"/>
          <w:lang w:eastAsia="en-US"/>
        </w:rPr>
        <w:t xml:space="preserve"> снижение маточно-плацентарного </w:t>
      </w:r>
      <w:r w:rsidRPr="009048CA">
        <w:rPr>
          <w:rFonts w:eastAsia="Calibri"/>
          <w:sz w:val="28"/>
          <w:szCs w:val="28"/>
          <w:lang w:eastAsia="en-US"/>
        </w:rPr>
        <w:t xml:space="preserve">кровотока, что приводит к </w:t>
      </w:r>
      <w:proofErr w:type="spellStart"/>
      <w:r w:rsidRPr="009048CA">
        <w:rPr>
          <w:rFonts w:eastAsia="Calibri"/>
          <w:sz w:val="28"/>
          <w:szCs w:val="28"/>
          <w:lang w:eastAsia="en-US"/>
        </w:rPr>
        <w:t>фетоплацентарной</w:t>
      </w:r>
      <w:proofErr w:type="spellEnd"/>
      <w:r w:rsidRPr="009048CA">
        <w:rPr>
          <w:rFonts w:eastAsia="Calibri"/>
          <w:sz w:val="28"/>
          <w:szCs w:val="28"/>
          <w:lang w:eastAsia="en-US"/>
        </w:rPr>
        <w:t xml:space="preserve"> ишемии и задержке развития плода. </w:t>
      </w:r>
    </w:p>
    <w:p w:rsidR="009048CA" w:rsidRPr="009048CA" w:rsidRDefault="009048CA" w:rsidP="00590DD7">
      <w:pPr>
        <w:spacing w:line="360" w:lineRule="auto"/>
        <w:jc w:val="both"/>
        <w:rPr>
          <w:rFonts w:eastAsia="Calibri"/>
          <w:sz w:val="28"/>
          <w:szCs w:val="28"/>
          <w:lang w:eastAsia="en-US"/>
        </w:rPr>
      </w:pPr>
      <w:r w:rsidRPr="009048CA">
        <w:rPr>
          <w:rFonts w:eastAsia="Calibri"/>
          <w:sz w:val="28"/>
          <w:szCs w:val="28"/>
          <w:lang w:eastAsia="en-US"/>
        </w:rPr>
        <w:t xml:space="preserve">Исследования на животных не выявили прямого или непрямого токсического воздействия на репродуктивную функцию. </w:t>
      </w:r>
    </w:p>
    <w:p w:rsidR="009048CA" w:rsidRPr="009048CA" w:rsidRDefault="009048CA" w:rsidP="00590DD7">
      <w:pPr>
        <w:spacing w:line="360" w:lineRule="auto"/>
        <w:jc w:val="both"/>
        <w:rPr>
          <w:rFonts w:eastAsia="Calibri"/>
          <w:sz w:val="28"/>
          <w:szCs w:val="28"/>
          <w:lang w:eastAsia="en-US"/>
        </w:rPr>
      </w:pPr>
      <w:r w:rsidRPr="009048CA">
        <w:rPr>
          <w:rFonts w:eastAsia="Calibri"/>
          <w:sz w:val="28"/>
          <w:szCs w:val="28"/>
          <w:lang w:eastAsia="en-US"/>
        </w:rPr>
        <w:t>В качестве меры предосторожности, рекомендуется из</w:t>
      </w:r>
      <w:r w:rsidR="00590DD7">
        <w:rPr>
          <w:rFonts w:eastAsia="Calibri"/>
          <w:sz w:val="28"/>
          <w:szCs w:val="28"/>
          <w:lang w:eastAsia="en-US"/>
        </w:rPr>
        <w:t xml:space="preserve">бегать применения </w:t>
      </w:r>
      <w:proofErr w:type="spellStart"/>
      <w:r w:rsidR="00590DD7">
        <w:rPr>
          <w:rFonts w:eastAsia="Calibri"/>
          <w:sz w:val="28"/>
          <w:szCs w:val="28"/>
          <w:lang w:eastAsia="en-US"/>
        </w:rPr>
        <w:t>индапамида</w:t>
      </w:r>
      <w:proofErr w:type="spellEnd"/>
      <w:r w:rsidR="00590DD7">
        <w:rPr>
          <w:rFonts w:eastAsia="Calibri"/>
          <w:sz w:val="28"/>
          <w:szCs w:val="28"/>
          <w:lang w:eastAsia="en-US"/>
        </w:rPr>
        <w:t xml:space="preserve"> во время беременности.</w:t>
      </w:r>
    </w:p>
    <w:p w:rsidR="009048CA" w:rsidRPr="008A3EFC" w:rsidRDefault="009048CA" w:rsidP="009048CA">
      <w:pPr>
        <w:spacing w:line="360" w:lineRule="auto"/>
        <w:rPr>
          <w:rFonts w:eastAsia="Calibri"/>
          <w:i/>
          <w:sz w:val="28"/>
          <w:szCs w:val="28"/>
          <w:lang w:eastAsia="en-US"/>
        </w:rPr>
      </w:pPr>
      <w:r w:rsidRPr="008A3EFC">
        <w:rPr>
          <w:rFonts w:eastAsia="Calibri"/>
          <w:i/>
          <w:sz w:val="28"/>
          <w:szCs w:val="28"/>
          <w:lang w:eastAsia="en-US"/>
        </w:rPr>
        <w:t xml:space="preserve">Период грудного вскармливания </w:t>
      </w:r>
    </w:p>
    <w:p w:rsidR="009048CA" w:rsidRPr="009048CA" w:rsidRDefault="009048CA" w:rsidP="009048CA">
      <w:pPr>
        <w:spacing w:line="360" w:lineRule="auto"/>
        <w:rPr>
          <w:rFonts w:eastAsia="Calibri"/>
          <w:sz w:val="28"/>
          <w:szCs w:val="28"/>
          <w:lang w:eastAsia="en-US"/>
        </w:rPr>
      </w:pPr>
      <w:r w:rsidRPr="009048CA">
        <w:rPr>
          <w:rFonts w:eastAsia="Calibri"/>
          <w:sz w:val="28"/>
          <w:szCs w:val="28"/>
          <w:lang w:eastAsia="en-US"/>
        </w:rPr>
        <w:t xml:space="preserve">Данных о проникновении </w:t>
      </w:r>
      <w:proofErr w:type="spellStart"/>
      <w:r w:rsidRPr="009048CA">
        <w:rPr>
          <w:rFonts w:eastAsia="Calibri"/>
          <w:sz w:val="28"/>
          <w:szCs w:val="28"/>
          <w:lang w:eastAsia="en-US"/>
        </w:rPr>
        <w:t>индапамида</w:t>
      </w:r>
      <w:proofErr w:type="spellEnd"/>
      <w:r w:rsidRPr="009048CA">
        <w:rPr>
          <w:rFonts w:eastAsia="Calibri"/>
          <w:sz w:val="28"/>
          <w:szCs w:val="28"/>
          <w:lang w:eastAsia="en-US"/>
        </w:rPr>
        <w:t xml:space="preserve"> или его метаболитов в грудное молоко у человека недостаточно. </w:t>
      </w:r>
    </w:p>
    <w:p w:rsidR="009048CA" w:rsidRPr="009048CA" w:rsidRDefault="00590DD7" w:rsidP="00590DD7">
      <w:pPr>
        <w:spacing w:line="360" w:lineRule="auto"/>
        <w:jc w:val="both"/>
        <w:rPr>
          <w:rFonts w:eastAsia="Calibri"/>
          <w:sz w:val="28"/>
          <w:szCs w:val="28"/>
          <w:lang w:eastAsia="en-US"/>
        </w:rPr>
      </w:pPr>
      <w:r>
        <w:rPr>
          <w:rFonts w:eastAsia="Calibri"/>
          <w:sz w:val="28"/>
          <w:szCs w:val="28"/>
          <w:lang w:eastAsia="en-US"/>
        </w:rPr>
        <w:t>У</w:t>
      </w:r>
      <w:r w:rsidR="009048CA" w:rsidRPr="009048CA">
        <w:rPr>
          <w:rFonts w:eastAsia="Calibri"/>
          <w:sz w:val="28"/>
          <w:szCs w:val="28"/>
          <w:lang w:eastAsia="en-US"/>
        </w:rPr>
        <w:t xml:space="preserve"> новорожденного может развитьс</w:t>
      </w:r>
      <w:r>
        <w:rPr>
          <w:rFonts w:eastAsia="Calibri"/>
          <w:sz w:val="28"/>
          <w:szCs w:val="28"/>
          <w:lang w:eastAsia="en-US"/>
        </w:rPr>
        <w:t xml:space="preserve">я повышенная чувствительность к </w:t>
      </w:r>
      <w:r w:rsidR="009048CA" w:rsidRPr="009048CA">
        <w:rPr>
          <w:rFonts w:eastAsia="Calibri"/>
          <w:sz w:val="28"/>
          <w:szCs w:val="28"/>
          <w:lang w:eastAsia="en-US"/>
        </w:rPr>
        <w:t xml:space="preserve">производным </w:t>
      </w:r>
      <w:proofErr w:type="spellStart"/>
      <w:r w:rsidR="009048CA" w:rsidRPr="009048CA">
        <w:rPr>
          <w:rFonts w:eastAsia="Calibri"/>
          <w:sz w:val="28"/>
          <w:szCs w:val="28"/>
          <w:lang w:eastAsia="en-US"/>
        </w:rPr>
        <w:t>сульфонамида</w:t>
      </w:r>
      <w:proofErr w:type="spellEnd"/>
      <w:r w:rsidR="009048CA" w:rsidRPr="009048CA">
        <w:rPr>
          <w:rFonts w:eastAsia="Calibri"/>
          <w:sz w:val="28"/>
          <w:szCs w:val="28"/>
          <w:lang w:eastAsia="en-US"/>
        </w:rPr>
        <w:t xml:space="preserve"> и </w:t>
      </w:r>
      <w:proofErr w:type="spellStart"/>
      <w:r w:rsidR="009048CA" w:rsidRPr="009048CA">
        <w:rPr>
          <w:rFonts w:eastAsia="Calibri"/>
          <w:sz w:val="28"/>
          <w:szCs w:val="28"/>
          <w:lang w:eastAsia="en-US"/>
        </w:rPr>
        <w:t>гипокалиемия</w:t>
      </w:r>
      <w:proofErr w:type="spellEnd"/>
      <w:r w:rsidR="009048CA" w:rsidRPr="009048CA">
        <w:rPr>
          <w:rFonts w:eastAsia="Calibri"/>
          <w:sz w:val="28"/>
          <w:szCs w:val="28"/>
          <w:lang w:eastAsia="en-US"/>
        </w:rPr>
        <w:t xml:space="preserve">. В связи с этим, риск для новорожденного/младенца не может быть исключен. </w:t>
      </w:r>
      <w:proofErr w:type="spellStart"/>
      <w:r w:rsidR="009048CA" w:rsidRPr="009048CA">
        <w:rPr>
          <w:rFonts w:eastAsia="Calibri"/>
          <w:sz w:val="28"/>
          <w:szCs w:val="28"/>
          <w:lang w:eastAsia="en-US"/>
        </w:rPr>
        <w:t>Индапамид</w:t>
      </w:r>
      <w:proofErr w:type="spellEnd"/>
      <w:r w:rsidR="009048CA" w:rsidRPr="009048CA">
        <w:rPr>
          <w:rFonts w:eastAsia="Calibri"/>
          <w:sz w:val="28"/>
          <w:szCs w:val="28"/>
          <w:lang w:eastAsia="en-US"/>
        </w:rPr>
        <w:t xml:space="preserve"> близок к </w:t>
      </w:r>
      <w:proofErr w:type="spellStart"/>
      <w:r w:rsidR="009048CA" w:rsidRPr="009048CA">
        <w:rPr>
          <w:rFonts w:eastAsia="Calibri"/>
          <w:sz w:val="28"/>
          <w:szCs w:val="28"/>
          <w:lang w:eastAsia="en-US"/>
        </w:rPr>
        <w:lastRenderedPageBreak/>
        <w:t>тиазидным</w:t>
      </w:r>
      <w:proofErr w:type="spellEnd"/>
      <w:r w:rsidR="009048CA" w:rsidRPr="009048CA">
        <w:rPr>
          <w:rFonts w:eastAsia="Calibri"/>
          <w:sz w:val="28"/>
          <w:szCs w:val="28"/>
          <w:lang w:eastAsia="en-US"/>
        </w:rPr>
        <w:t xml:space="preserve"> диуретикам, прием </w:t>
      </w:r>
      <w:proofErr w:type="gramStart"/>
      <w:r w:rsidR="009048CA" w:rsidRPr="009048CA">
        <w:rPr>
          <w:rFonts w:eastAsia="Calibri"/>
          <w:sz w:val="28"/>
          <w:szCs w:val="28"/>
          <w:lang w:eastAsia="en-US"/>
        </w:rPr>
        <w:t>которых</w:t>
      </w:r>
      <w:proofErr w:type="gramEnd"/>
      <w:r w:rsidR="009048CA" w:rsidRPr="009048CA">
        <w:rPr>
          <w:rFonts w:eastAsia="Calibri"/>
          <w:sz w:val="28"/>
          <w:szCs w:val="28"/>
          <w:lang w:eastAsia="en-US"/>
        </w:rPr>
        <w:t xml:space="preserve"> вызывает уменьшение количества грудного молока или даже подавление лактации. </w:t>
      </w:r>
    </w:p>
    <w:p w:rsidR="009048CA" w:rsidRPr="009048CA" w:rsidRDefault="009048CA" w:rsidP="00590DD7">
      <w:pPr>
        <w:spacing w:line="360" w:lineRule="auto"/>
        <w:jc w:val="both"/>
        <w:rPr>
          <w:rFonts w:eastAsia="Calibri"/>
          <w:sz w:val="28"/>
          <w:szCs w:val="28"/>
          <w:lang w:eastAsia="en-US"/>
        </w:rPr>
      </w:pPr>
      <w:r w:rsidRPr="009048CA">
        <w:rPr>
          <w:rFonts w:eastAsia="Calibri"/>
          <w:sz w:val="28"/>
          <w:szCs w:val="28"/>
          <w:lang w:eastAsia="en-US"/>
        </w:rPr>
        <w:t xml:space="preserve">Не следует применять </w:t>
      </w:r>
      <w:proofErr w:type="spellStart"/>
      <w:r w:rsidRPr="009048CA">
        <w:rPr>
          <w:rFonts w:eastAsia="Calibri"/>
          <w:sz w:val="28"/>
          <w:szCs w:val="28"/>
          <w:lang w:eastAsia="en-US"/>
        </w:rPr>
        <w:t>индапамид</w:t>
      </w:r>
      <w:proofErr w:type="spellEnd"/>
      <w:r w:rsidRPr="009048CA">
        <w:rPr>
          <w:rFonts w:eastAsia="Calibri"/>
          <w:sz w:val="28"/>
          <w:szCs w:val="28"/>
          <w:lang w:eastAsia="en-US"/>
        </w:rPr>
        <w:t xml:space="preserve"> в период грудного вскармливания. </w:t>
      </w:r>
    </w:p>
    <w:p w:rsidR="009048CA" w:rsidRPr="008A3EFC" w:rsidRDefault="009048CA" w:rsidP="009048CA">
      <w:pPr>
        <w:spacing w:line="360" w:lineRule="auto"/>
        <w:rPr>
          <w:rFonts w:eastAsia="Calibri"/>
          <w:i/>
          <w:sz w:val="28"/>
          <w:szCs w:val="28"/>
          <w:lang w:eastAsia="en-US"/>
        </w:rPr>
      </w:pPr>
      <w:r w:rsidRPr="008A3EFC">
        <w:rPr>
          <w:rFonts w:eastAsia="Calibri"/>
          <w:i/>
          <w:sz w:val="28"/>
          <w:szCs w:val="28"/>
          <w:lang w:eastAsia="en-US"/>
        </w:rPr>
        <w:t xml:space="preserve">Фертильность </w:t>
      </w:r>
    </w:p>
    <w:p w:rsidR="009048CA" w:rsidRPr="009048CA" w:rsidRDefault="009048CA" w:rsidP="009048CA">
      <w:pPr>
        <w:spacing w:line="360" w:lineRule="auto"/>
        <w:rPr>
          <w:rFonts w:eastAsia="Calibri"/>
          <w:sz w:val="28"/>
          <w:szCs w:val="28"/>
          <w:lang w:eastAsia="en-US"/>
        </w:rPr>
      </w:pPr>
      <w:r w:rsidRPr="009048CA">
        <w:rPr>
          <w:rFonts w:eastAsia="Calibri"/>
          <w:sz w:val="28"/>
          <w:szCs w:val="28"/>
          <w:lang w:eastAsia="en-US"/>
        </w:rPr>
        <w:t xml:space="preserve">Исследования репродуктивной токсичности показали отсутствие влияния на фертильность самок и самцов крыс. </w:t>
      </w:r>
    </w:p>
    <w:p w:rsidR="00D13D31" w:rsidRPr="00121748" w:rsidRDefault="009048CA" w:rsidP="009048CA">
      <w:pPr>
        <w:spacing w:line="360" w:lineRule="auto"/>
        <w:rPr>
          <w:rFonts w:eastAsia="Calibri"/>
          <w:sz w:val="28"/>
          <w:szCs w:val="28"/>
          <w:lang w:eastAsia="en-US"/>
        </w:rPr>
      </w:pPr>
      <w:r w:rsidRPr="009048CA">
        <w:rPr>
          <w:rFonts w:eastAsia="Calibri"/>
          <w:sz w:val="28"/>
          <w:szCs w:val="28"/>
          <w:lang w:eastAsia="en-US"/>
        </w:rPr>
        <w:t>Предположительно, влияние на фертильность у человека отсутствует.</w:t>
      </w:r>
    </w:p>
    <w:p w:rsidR="002857BF" w:rsidRPr="009C7545" w:rsidRDefault="005263D8" w:rsidP="009048CA">
      <w:pPr>
        <w:spacing w:line="360" w:lineRule="auto"/>
        <w:rPr>
          <w:b/>
          <w:bCs/>
          <w:sz w:val="28"/>
          <w:szCs w:val="28"/>
        </w:rPr>
      </w:pPr>
      <w:r>
        <w:rPr>
          <w:b/>
          <w:bCs/>
          <w:sz w:val="28"/>
          <w:szCs w:val="28"/>
        </w:rPr>
        <w:t>С</w:t>
      </w:r>
      <w:r w:rsidRPr="009C7545">
        <w:rPr>
          <w:b/>
          <w:bCs/>
          <w:sz w:val="28"/>
          <w:szCs w:val="28"/>
        </w:rPr>
        <w:t>пособ применения и дозы</w:t>
      </w:r>
    </w:p>
    <w:p w:rsidR="00590DD7" w:rsidRPr="00590DD7" w:rsidRDefault="00590DD7" w:rsidP="00590DD7">
      <w:pPr>
        <w:pStyle w:val="a7"/>
        <w:spacing w:line="360" w:lineRule="auto"/>
        <w:jc w:val="both"/>
        <w:rPr>
          <w:rFonts w:eastAsia="Calibri"/>
          <w:szCs w:val="28"/>
          <w:lang w:eastAsia="en-US"/>
        </w:rPr>
      </w:pPr>
      <w:r>
        <w:rPr>
          <w:rFonts w:eastAsia="Calibri"/>
          <w:szCs w:val="28"/>
          <w:lang w:eastAsia="en-US"/>
        </w:rPr>
        <w:t xml:space="preserve">Применяется внутрь 1 таблетка в </w:t>
      </w:r>
      <w:r w:rsidRPr="00590DD7">
        <w:rPr>
          <w:rFonts w:eastAsia="Calibri"/>
          <w:szCs w:val="28"/>
          <w:lang w:eastAsia="en-US"/>
        </w:rPr>
        <w:t xml:space="preserve">сутки, желательно утром. </w:t>
      </w:r>
    </w:p>
    <w:p w:rsidR="00590DD7" w:rsidRPr="00590DD7" w:rsidRDefault="00590DD7" w:rsidP="00590DD7">
      <w:pPr>
        <w:pStyle w:val="a7"/>
        <w:spacing w:line="360" w:lineRule="auto"/>
        <w:jc w:val="both"/>
        <w:rPr>
          <w:rFonts w:eastAsia="Calibri"/>
          <w:szCs w:val="28"/>
          <w:lang w:eastAsia="en-US"/>
        </w:rPr>
      </w:pPr>
      <w:r w:rsidRPr="00590DD7">
        <w:rPr>
          <w:rFonts w:eastAsia="Calibri"/>
          <w:szCs w:val="28"/>
          <w:lang w:eastAsia="en-US"/>
        </w:rPr>
        <w:t xml:space="preserve">При лечении пациентов с артериальной гипертензией доза </w:t>
      </w:r>
      <w:r>
        <w:rPr>
          <w:rFonts w:eastAsia="Calibri"/>
          <w:szCs w:val="28"/>
          <w:lang w:eastAsia="en-US"/>
        </w:rPr>
        <w:t>препарата не должна превышать 2,</w:t>
      </w:r>
      <w:r w:rsidRPr="00590DD7">
        <w:rPr>
          <w:rFonts w:eastAsia="Calibri"/>
          <w:szCs w:val="28"/>
          <w:lang w:eastAsia="en-US"/>
        </w:rPr>
        <w:t xml:space="preserve">5 мг/сутки (увеличение риска побочного действия без усиления </w:t>
      </w:r>
      <w:proofErr w:type="spellStart"/>
      <w:r w:rsidRPr="00590DD7">
        <w:rPr>
          <w:rFonts w:eastAsia="Calibri"/>
          <w:szCs w:val="28"/>
          <w:lang w:eastAsia="en-US"/>
        </w:rPr>
        <w:t>антигипертензивного</w:t>
      </w:r>
      <w:proofErr w:type="spellEnd"/>
      <w:r w:rsidRPr="00590DD7">
        <w:rPr>
          <w:rFonts w:eastAsia="Calibri"/>
          <w:szCs w:val="28"/>
          <w:lang w:eastAsia="en-US"/>
        </w:rPr>
        <w:t xml:space="preserve"> эффекта). </w:t>
      </w:r>
    </w:p>
    <w:p w:rsidR="00590DD7" w:rsidRPr="008A3EFC" w:rsidRDefault="00590DD7" w:rsidP="00590DD7">
      <w:pPr>
        <w:pStyle w:val="a7"/>
        <w:spacing w:line="360" w:lineRule="auto"/>
        <w:jc w:val="both"/>
        <w:rPr>
          <w:rFonts w:eastAsia="Calibri"/>
          <w:i/>
          <w:szCs w:val="28"/>
          <w:lang w:eastAsia="en-US"/>
        </w:rPr>
      </w:pPr>
      <w:r w:rsidRPr="008A3EFC">
        <w:rPr>
          <w:rFonts w:eastAsia="Calibri"/>
          <w:i/>
          <w:szCs w:val="28"/>
          <w:lang w:eastAsia="en-US"/>
        </w:rPr>
        <w:t xml:space="preserve">Особые группы пациентов </w:t>
      </w:r>
    </w:p>
    <w:p w:rsidR="00590DD7" w:rsidRPr="00590DD7" w:rsidRDefault="00590DD7" w:rsidP="00590DD7">
      <w:pPr>
        <w:pStyle w:val="a7"/>
        <w:spacing w:line="360" w:lineRule="auto"/>
        <w:jc w:val="both"/>
        <w:rPr>
          <w:rFonts w:eastAsia="Calibri"/>
          <w:i/>
          <w:szCs w:val="28"/>
          <w:lang w:eastAsia="en-US"/>
        </w:rPr>
      </w:pPr>
      <w:r w:rsidRPr="00590DD7">
        <w:rPr>
          <w:rFonts w:eastAsia="Calibri"/>
          <w:i/>
          <w:szCs w:val="28"/>
          <w:lang w:eastAsia="en-US"/>
        </w:rPr>
        <w:t>Пациенты с нарушение</w:t>
      </w:r>
      <w:r w:rsidR="00A73918">
        <w:rPr>
          <w:rFonts w:eastAsia="Calibri"/>
          <w:i/>
          <w:szCs w:val="28"/>
          <w:lang w:eastAsia="en-US"/>
        </w:rPr>
        <w:t>м</w:t>
      </w:r>
      <w:r w:rsidRPr="00590DD7">
        <w:rPr>
          <w:rFonts w:eastAsia="Calibri"/>
          <w:i/>
          <w:szCs w:val="28"/>
          <w:lang w:eastAsia="en-US"/>
        </w:rPr>
        <w:t xml:space="preserve"> функции почек (см. разделы «Противопоказания» и «Особые указания») </w:t>
      </w:r>
    </w:p>
    <w:p w:rsidR="00590DD7" w:rsidRPr="00590DD7" w:rsidRDefault="00590DD7" w:rsidP="00590DD7">
      <w:pPr>
        <w:pStyle w:val="a7"/>
        <w:spacing w:line="360" w:lineRule="auto"/>
        <w:jc w:val="both"/>
        <w:rPr>
          <w:rFonts w:eastAsia="Calibri"/>
          <w:szCs w:val="28"/>
          <w:lang w:eastAsia="en-US"/>
        </w:rPr>
      </w:pPr>
      <w:r w:rsidRPr="00590DD7">
        <w:rPr>
          <w:rFonts w:eastAsia="Calibri"/>
          <w:szCs w:val="28"/>
          <w:lang w:eastAsia="en-US"/>
        </w:rPr>
        <w:t xml:space="preserve">Применение противопоказано пациентам с тяжелой почечной недостаточностью (клиренс креатинина менее 30 мл/мин). </w:t>
      </w:r>
      <w:proofErr w:type="spellStart"/>
      <w:r w:rsidRPr="00590DD7">
        <w:rPr>
          <w:rFonts w:eastAsia="Calibri"/>
          <w:szCs w:val="28"/>
          <w:lang w:eastAsia="en-US"/>
        </w:rPr>
        <w:t>Тиазидные</w:t>
      </w:r>
      <w:proofErr w:type="spellEnd"/>
      <w:r w:rsidRPr="00590DD7">
        <w:rPr>
          <w:rFonts w:eastAsia="Calibri"/>
          <w:szCs w:val="28"/>
          <w:lang w:eastAsia="en-US"/>
        </w:rPr>
        <w:t xml:space="preserve"> и </w:t>
      </w:r>
      <w:proofErr w:type="spellStart"/>
      <w:r w:rsidRPr="00590DD7">
        <w:rPr>
          <w:rFonts w:eastAsia="Calibri"/>
          <w:szCs w:val="28"/>
          <w:lang w:eastAsia="en-US"/>
        </w:rPr>
        <w:t>тиазидоподобные</w:t>
      </w:r>
      <w:proofErr w:type="spellEnd"/>
      <w:r w:rsidRPr="00590DD7">
        <w:rPr>
          <w:rFonts w:eastAsia="Calibri"/>
          <w:szCs w:val="28"/>
          <w:lang w:eastAsia="en-US"/>
        </w:rPr>
        <w:t xml:space="preserve"> диуретики в полной мере </w:t>
      </w:r>
      <w:proofErr w:type="gramStart"/>
      <w:r w:rsidRPr="00590DD7">
        <w:rPr>
          <w:rFonts w:eastAsia="Calibri"/>
          <w:szCs w:val="28"/>
          <w:lang w:eastAsia="en-US"/>
        </w:rPr>
        <w:t>эффективны</w:t>
      </w:r>
      <w:proofErr w:type="gramEnd"/>
      <w:r w:rsidRPr="00590DD7">
        <w:rPr>
          <w:rFonts w:eastAsia="Calibri"/>
          <w:szCs w:val="28"/>
          <w:lang w:eastAsia="en-US"/>
        </w:rPr>
        <w:t xml:space="preserve"> только у пациентов с нормальной функцией почек или минимальными ее нарушениями. </w:t>
      </w:r>
    </w:p>
    <w:p w:rsidR="00590DD7" w:rsidRPr="00590DD7" w:rsidRDefault="00590DD7" w:rsidP="00590DD7">
      <w:pPr>
        <w:pStyle w:val="a7"/>
        <w:spacing w:line="360" w:lineRule="auto"/>
        <w:jc w:val="both"/>
        <w:rPr>
          <w:rFonts w:eastAsia="Calibri"/>
          <w:i/>
          <w:szCs w:val="28"/>
          <w:lang w:eastAsia="en-US"/>
        </w:rPr>
      </w:pPr>
      <w:r w:rsidRPr="00590DD7">
        <w:rPr>
          <w:rFonts w:eastAsia="Calibri"/>
          <w:i/>
          <w:szCs w:val="28"/>
          <w:lang w:eastAsia="en-US"/>
        </w:rPr>
        <w:t xml:space="preserve">Пациенты с нарушением функции печени (см. разделы «Противопоказания» и «Особые указания») </w:t>
      </w:r>
    </w:p>
    <w:p w:rsidR="00590DD7" w:rsidRPr="00590DD7" w:rsidRDefault="00590DD7" w:rsidP="00590DD7">
      <w:pPr>
        <w:pStyle w:val="a7"/>
        <w:spacing w:line="360" w:lineRule="auto"/>
        <w:jc w:val="both"/>
        <w:rPr>
          <w:rFonts w:eastAsia="Calibri"/>
          <w:szCs w:val="28"/>
          <w:lang w:eastAsia="en-US"/>
        </w:rPr>
      </w:pPr>
      <w:r w:rsidRPr="00590DD7">
        <w:rPr>
          <w:rFonts w:eastAsia="Calibri"/>
          <w:szCs w:val="28"/>
          <w:lang w:eastAsia="en-US"/>
        </w:rPr>
        <w:t xml:space="preserve">Применение противопоказано пациентам с тяжелой печеночной недостаточностью. </w:t>
      </w:r>
    </w:p>
    <w:p w:rsidR="00590DD7" w:rsidRPr="00590DD7" w:rsidRDefault="00590DD7" w:rsidP="00590DD7">
      <w:pPr>
        <w:pStyle w:val="a7"/>
        <w:spacing w:line="360" w:lineRule="auto"/>
        <w:jc w:val="both"/>
        <w:rPr>
          <w:rFonts w:eastAsia="Calibri"/>
          <w:i/>
          <w:szCs w:val="28"/>
          <w:lang w:eastAsia="en-US"/>
        </w:rPr>
      </w:pPr>
      <w:r w:rsidRPr="00590DD7">
        <w:rPr>
          <w:rFonts w:eastAsia="Calibri"/>
          <w:i/>
          <w:szCs w:val="28"/>
          <w:lang w:eastAsia="en-US"/>
        </w:rPr>
        <w:t xml:space="preserve">Пациенты пожилого возраста (см. раздел «Особые указания») </w:t>
      </w:r>
    </w:p>
    <w:p w:rsidR="00590DD7" w:rsidRPr="00590DD7" w:rsidRDefault="00590DD7" w:rsidP="00590DD7">
      <w:pPr>
        <w:pStyle w:val="a7"/>
        <w:spacing w:line="360" w:lineRule="auto"/>
        <w:jc w:val="both"/>
        <w:rPr>
          <w:rFonts w:eastAsia="Calibri"/>
          <w:szCs w:val="28"/>
          <w:lang w:eastAsia="en-US"/>
        </w:rPr>
      </w:pPr>
      <w:r w:rsidRPr="00590DD7">
        <w:rPr>
          <w:rFonts w:eastAsia="Calibri"/>
          <w:szCs w:val="28"/>
          <w:lang w:eastAsia="en-US"/>
        </w:rPr>
        <w:t>У пожилых пациентов следует контролировать содержание креатинина в плазме крови с учетом возраста, массы тела и пола. Ле</w:t>
      </w:r>
      <w:r>
        <w:rPr>
          <w:rFonts w:eastAsia="Calibri"/>
          <w:szCs w:val="28"/>
          <w:lang w:eastAsia="en-US"/>
        </w:rPr>
        <w:t>карственный препарат ИНДАПАМИД</w:t>
      </w:r>
      <w:r w:rsidRPr="00590DD7">
        <w:rPr>
          <w:rFonts w:eastAsia="Calibri"/>
          <w:szCs w:val="28"/>
          <w:lang w:eastAsia="en-US"/>
        </w:rPr>
        <w:t xml:space="preserve"> можно назначать пожилым пациентам с нормальной функцией почек или только с минимальными ее нарушениями. </w:t>
      </w:r>
    </w:p>
    <w:p w:rsidR="00590DD7" w:rsidRPr="00590DD7" w:rsidRDefault="00590DD7" w:rsidP="00590DD7">
      <w:pPr>
        <w:pStyle w:val="a7"/>
        <w:spacing w:line="360" w:lineRule="auto"/>
        <w:jc w:val="both"/>
        <w:rPr>
          <w:rFonts w:eastAsia="Calibri"/>
          <w:i/>
          <w:szCs w:val="28"/>
          <w:lang w:eastAsia="en-US"/>
        </w:rPr>
      </w:pPr>
      <w:r w:rsidRPr="00590DD7">
        <w:rPr>
          <w:rFonts w:eastAsia="Calibri"/>
          <w:i/>
          <w:szCs w:val="28"/>
          <w:lang w:eastAsia="en-US"/>
        </w:rPr>
        <w:t xml:space="preserve">Дети и подростки в возрасте до 18 лет </w:t>
      </w:r>
    </w:p>
    <w:p w:rsidR="00590DD7" w:rsidRDefault="00590DD7" w:rsidP="00590DD7">
      <w:pPr>
        <w:pStyle w:val="a7"/>
        <w:spacing w:line="360" w:lineRule="auto"/>
        <w:jc w:val="both"/>
        <w:rPr>
          <w:rFonts w:eastAsia="Calibri"/>
          <w:szCs w:val="28"/>
          <w:lang w:eastAsia="en-US"/>
        </w:rPr>
      </w:pPr>
      <w:r w:rsidRPr="00590DD7">
        <w:rPr>
          <w:rFonts w:eastAsia="Calibri"/>
          <w:szCs w:val="28"/>
          <w:lang w:eastAsia="en-US"/>
        </w:rPr>
        <w:lastRenderedPageBreak/>
        <w:t xml:space="preserve">Безопасность и эффективность применения </w:t>
      </w:r>
      <w:proofErr w:type="spellStart"/>
      <w:r w:rsidRPr="00590DD7">
        <w:rPr>
          <w:rFonts w:eastAsia="Calibri"/>
          <w:szCs w:val="28"/>
          <w:lang w:eastAsia="en-US"/>
        </w:rPr>
        <w:t>индапамида</w:t>
      </w:r>
      <w:proofErr w:type="spellEnd"/>
      <w:r w:rsidRPr="00590DD7">
        <w:rPr>
          <w:rFonts w:eastAsia="Calibri"/>
          <w:szCs w:val="28"/>
          <w:lang w:eastAsia="en-US"/>
        </w:rPr>
        <w:t xml:space="preserve"> у детей и подростков не установлены. Данные отсутствуют. </w:t>
      </w:r>
    </w:p>
    <w:p w:rsidR="00392F10" w:rsidRDefault="00BE1D7D" w:rsidP="00590DD7">
      <w:pPr>
        <w:pStyle w:val="a7"/>
        <w:spacing w:line="360" w:lineRule="auto"/>
        <w:jc w:val="both"/>
        <w:rPr>
          <w:b/>
        </w:rPr>
      </w:pPr>
      <w:r w:rsidRPr="009C7545">
        <w:rPr>
          <w:b/>
        </w:rPr>
        <w:t>П</w:t>
      </w:r>
      <w:r w:rsidR="007E0A44" w:rsidRPr="009C7545">
        <w:rPr>
          <w:b/>
        </w:rPr>
        <w:t>обочное действие</w:t>
      </w:r>
    </w:p>
    <w:p w:rsidR="00BE4737" w:rsidRPr="008A3EFC" w:rsidRDefault="00BE4737" w:rsidP="00BE4737">
      <w:pPr>
        <w:pStyle w:val="a7"/>
        <w:spacing w:line="360" w:lineRule="auto"/>
        <w:jc w:val="both"/>
        <w:rPr>
          <w:i/>
        </w:rPr>
      </w:pPr>
      <w:r w:rsidRPr="008A3EFC">
        <w:rPr>
          <w:i/>
        </w:rPr>
        <w:t xml:space="preserve">Общие данные о профиле безопасности </w:t>
      </w:r>
    </w:p>
    <w:p w:rsidR="00BE4737" w:rsidRDefault="00BE4737" w:rsidP="00BE4737">
      <w:pPr>
        <w:pStyle w:val="a7"/>
        <w:spacing w:line="360" w:lineRule="auto"/>
        <w:jc w:val="both"/>
      </w:pPr>
      <w:r>
        <w:t xml:space="preserve">Наиболее частыми нежелательными реакциями, о которых сообщалось, были: реакции повышенной чувствительности, в основном дерматологические, у пациентов с предрасположенностью к аллергическим и астматическим реакциям, а также </w:t>
      </w:r>
      <w:proofErr w:type="spellStart"/>
      <w:r>
        <w:t>макуло</w:t>
      </w:r>
      <w:proofErr w:type="spellEnd"/>
      <w:r>
        <w:t xml:space="preserve">-папулезная сыпь. </w:t>
      </w:r>
    </w:p>
    <w:p w:rsidR="00BE4737" w:rsidRDefault="00BE4737" w:rsidP="00BE4737">
      <w:pPr>
        <w:pStyle w:val="a7"/>
        <w:spacing w:line="360" w:lineRule="auto"/>
        <w:jc w:val="both"/>
      </w:pPr>
      <w:r>
        <w:t xml:space="preserve">В ходе клинических исследований гипокалиемия (концентрация калия в плазме крови менее 3,4 </w:t>
      </w:r>
      <w:proofErr w:type="spellStart"/>
      <w:r>
        <w:t>ммоль</w:t>
      </w:r>
      <w:proofErr w:type="spellEnd"/>
      <w:r>
        <w:t xml:space="preserve">/л) наблюдалась у 25 % пациентов, а концентрация калия в плазме крови менее 3,2 </w:t>
      </w:r>
      <w:proofErr w:type="spellStart"/>
      <w:r>
        <w:t>ммоль</w:t>
      </w:r>
      <w:proofErr w:type="spellEnd"/>
      <w:r>
        <w:t xml:space="preserve">/л наблюдалась у 10 % пациентов через 4-6 недель после начала терапии. После 12 недель терапии среднее снижение концентрации калия в плазме составляло 0,41 </w:t>
      </w:r>
      <w:proofErr w:type="spellStart"/>
      <w:r>
        <w:t>ммоль</w:t>
      </w:r>
      <w:proofErr w:type="spellEnd"/>
      <w:r>
        <w:t xml:space="preserve">/л. </w:t>
      </w:r>
    </w:p>
    <w:p w:rsidR="00BE4737" w:rsidRDefault="00BE4737" w:rsidP="00BE4737">
      <w:pPr>
        <w:pStyle w:val="a7"/>
        <w:spacing w:line="360" w:lineRule="auto"/>
        <w:jc w:val="both"/>
      </w:pPr>
      <w:r>
        <w:t xml:space="preserve">Большинство нежелательных реакций (лабораторные и клинические показатели) носят </w:t>
      </w:r>
      <w:proofErr w:type="spellStart"/>
      <w:r>
        <w:t>дозозависимый</w:t>
      </w:r>
      <w:proofErr w:type="spellEnd"/>
      <w:r>
        <w:t xml:space="preserve"> характер. </w:t>
      </w:r>
    </w:p>
    <w:p w:rsidR="00BE4737" w:rsidRPr="008A3EFC" w:rsidRDefault="00BE4737" w:rsidP="00BE4737">
      <w:pPr>
        <w:pStyle w:val="a7"/>
        <w:spacing w:line="360" w:lineRule="auto"/>
        <w:jc w:val="both"/>
        <w:rPr>
          <w:i/>
        </w:rPr>
      </w:pPr>
      <w:r w:rsidRPr="008A3EFC">
        <w:rPr>
          <w:i/>
        </w:rPr>
        <w:t xml:space="preserve">Список нежелательных реакций приведен в таблице </w:t>
      </w:r>
    </w:p>
    <w:p w:rsidR="00951AA5" w:rsidRDefault="00BE4737" w:rsidP="00951AA5">
      <w:pPr>
        <w:pStyle w:val="a7"/>
        <w:spacing w:line="360" w:lineRule="auto"/>
        <w:jc w:val="both"/>
      </w:pPr>
      <w:r>
        <w:t xml:space="preserve">Частота побочных реакций, которые были отмечены во время терапии </w:t>
      </w:r>
      <w:proofErr w:type="spellStart"/>
      <w:r>
        <w:t>индапамидом</w:t>
      </w:r>
      <w:proofErr w:type="spellEnd"/>
      <w:r>
        <w:t>, приведена в виде следующей градации:</w:t>
      </w:r>
      <w:r w:rsidR="00951AA5">
        <w:t xml:space="preserve"> очень часто (≥1/10); часто (≥1/100, &lt;1/10); нечасто (≥1/1000, &lt;1/100); редко (≥1/10000, &lt;1/1000); очень редко (≥1/10000); частота неизвестна (частота не может быть подсчитана по доступным данным).</w:t>
      </w:r>
    </w:p>
    <w:tbl>
      <w:tblPr>
        <w:tblStyle w:val="a3"/>
        <w:tblW w:w="0" w:type="auto"/>
        <w:tblLook w:val="04A0" w:firstRow="1" w:lastRow="0" w:firstColumn="1" w:lastColumn="0" w:noHBand="0" w:noVBand="1"/>
      </w:tblPr>
      <w:tblGrid>
        <w:gridCol w:w="3369"/>
        <w:gridCol w:w="4394"/>
        <w:gridCol w:w="1808"/>
      </w:tblGrid>
      <w:tr w:rsidR="00951AA5" w:rsidTr="00216C8E">
        <w:tc>
          <w:tcPr>
            <w:tcW w:w="3369" w:type="dxa"/>
          </w:tcPr>
          <w:p w:rsidR="00951AA5" w:rsidRPr="00951AA5" w:rsidRDefault="00951AA5" w:rsidP="002D3604">
            <w:pPr>
              <w:pStyle w:val="a7"/>
              <w:spacing w:line="276" w:lineRule="auto"/>
              <w:jc w:val="center"/>
              <w:rPr>
                <w:b/>
              </w:rPr>
            </w:pPr>
            <w:proofErr w:type="spellStart"/>
            <w:r w:rsidRPr="00951AA5">
              <w:rPr>
                <w:b/>
              </w:rPr>
              <w:t>MedDRA</w:t>
            </w:r>
            <w:proofErr w:type="spellEnd"/>
          </w:p>
          <w:p w:rsidR="00951AA5" w:rsidRPr="00951AA5" w:rsidRDefault="00951AA5" w:rsidP="002D3604">
            <w:pPr>
              <w:pStyle w:val="a7"/>
              <w:spacing w:line="276" w:lineRule="auto"/>
              <w:jc w:val="center"/>
              <w:rPr>
                <w:b/>
              </w:rPr>
            </w:pPr>
            <w:r w:rsidRPr="00951AA5">
              <w:rPr>
                <w:b/>
              </w:rPr>
              <w:t>Классы и си</w:t>
            </w:r>
            <w:r>
              <w:rPr>
                <w:b/>
              </w:rPr>
              <w:t>с</w:t>
            </w:r>
            <w:r w:rsidRPr="00951AA5">
              <w:rPr>
                <w:b/>
              </w:rPr>
              <w:t>темы органов</w:t>
            </w:r>
          </w:p>
        </w:tc>
        <w:tc>
          <w:tcPr>
            <w:tcW w:w="4394" w:type="dxa"/>
          </w:tcPr>
          <w:p w:rsidR="00951AA5" w:rsidRPr="00951AA5" w:rsidRDefault="00951AA5" w:rsidP="002D3604">
            <w:pPr>
              <w:pStyle w:val="a7"/>
              <w:spacing w:line="276" w:lineRule="auto"/>
              <w:jc w:val="center"/>
              <w:rPr>
                <w:b/>
              </w:rPr>
            </w:pPr>
            <w:r w:rsidRPr="00951AA5">
              <w:rPr>
                <w:b/>
              </w:rPr>
              <w:t>Нежелательные реакции</w:t>
            </w:r>
          </w:p>
        </w:tc>
        <w:tc>
          <w:tcPr>
            <w:tcW w:w="1808" w:type="dxa"/>
          </w:tcPr>
          <w:p w:rsidR="00951AA5" w:rsidRPr="00951AA5" w:rsidRDefault="00951AA5" w:rsidP="002D3604">
            <w:pPr>
              <w:pStyle w:val="a7"/>
              <w:spacing w:line="276" w:lineRule="auto"/>
              <w:jc w:val="center"/>
              <w:rPr>
                <w:b/>
              </w:rPr>
            </w:pPr>
            <w:r w:rsidRPr="00951AA5">
              <w:rPr>
                <w:b/>
              </w:rPr>
              <w:t>Частота</w:t>
            </w:r>
          </w:p>
        </w:tc>
      </w:tr>
      <w:tr w:rsidR="006921B7" w:rsidTr="00216C8E">
        <w:tc>
          <w:tcPr>
            <w:tcW w:w="3369" w:type="dxa"/>
            <w:vMerge w:val="restart"/>
          </w:tcPr>
          <w:p w:rsidR="006921B7" w:rsidRDefault="006921B7" w:rsidP="002D3604">
            <w:pPr>
              <w:pStyle w:val="a7"/>
              <w:spacing w:line="276" w:lineRule="auto"/>
              <w:jc w:val="both"/>
            </w:pPr>
            <w:r w:rsidRPr="00951AA5">
              <w:t>Нарушения со стороны крови и лимфатической системы</w:t>
            </w:r>
          </w:p>
        </w:tc>
        <w:tc>
          <w:tcPr>
            <w:tcW w:w="4394" w:type="dxa"/>
          </w:tcPr>
          <w:p w:rsidR="006921B7" w:rsidRDefault="006921B7" w:rsidP="002D3604">
            <w:pPr>
              <w:pStyle w:val="a7"/>
              <w:spacing w:line="276" w:lineRule="auto"/>
              <w:jc w:val="both"/>
            </w:pPr>
            <w:r w:rsidRPr="006921B7">
              <w:t>Агранулоцитоз</w:t>
            </w:r>
          </w:p>
        </w:tc>
        <w:tc>
          <w:tcPr>
            <w:tcW w:w="1808" w:type="dxa"/>
          </w:tcPr>
          <w:p w:rsidR="006921B7" w:rsidRDefault="006921B7" w:rsidP="002D3604">
            <w:pPr>
              <w:pStyle w:val="a7"/>
              <w:spacing w:line="276" w:lineRule="auto"/>
              <w:jc w:val="both"/>
            </w:pPr>
            <w:r w:rsidRPr="006921B7">
              <w:t>Очень редко</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6921B7" w:rsidP="002D3604">
            <w:pPr>
              <w:pStyle w:val="a7"/>
              <w:spacing w:line="276" w:lineRule="auto"/>
              <w:jc w:val="both"/>
            </w:pPr>
            <w:proofErr w:type="spellStart"/>
            <w:r>
              <w:t>Ап</w:t>
            </w:r>
            <w:r w:rsidRPr="006921B7">
              <w:t>ластическая</w:t>
            </w:r>
            <w:proofErr w:type="spellEnd"/>
            <w:r w:rsidRPr="006921B7">
              <w:t xml:space="preserve"> анемия</w:t>
            </w:r>
          </w:p>
        </w:tc>
        <w:tc>
          <w:tcPr>
            <w:tcW w:w="1808" w:type="dxa"/>
          </w:tcPr>
          <w:p w:rsidR="006921B7" w:rsidRDefault="006921B7" w:rsidP="002D3604">
            <w:pPr>
              <w:pStyle w:val="a7"/>
              <w:spacing w:line="276" w:lineRule="auto"/>
              <w:jc w:val="both"/>
            </w:pPr>
            <w:r w:rsidRPr="006921B7">
              <w:t>Очень редко</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6921B7" w:rsidP="002D3604">
            <w:pPr>
              <w:pStyle w:val="a7"/>
              <w:spacing w:line="276" w:lineRule="auto"/>
              <w:jc w:val="both"/>
            </w:pPr>
            <w:r>
              <w:t>Гемолитическая анемия</w:t>
            </w:r>
          </w:p>
        </w:tc>
        <w:tc>
          <w:tcPr>
            <w:tcW w:w="1808" w:type="dxa"/>
          </w:tcPr>
          <w:p w:rsidR="006921B7" w:rsidRDefault="006921B7" w:rsidP="002D3604">
            <w:pPr>
              <w:pStyle w:val="a7"/>
              <w:spacing w:line="276" w:lineRule="auto"/>
              <w:jc w:val="both"/>
            </w:pPr>
            <w:r w:rsidRPr="006921B7">
              <w:t>Очень редко</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6921B7" w:rsidP="002D3604">
            <w:pPr>
              <w:pStyle w:val="a7"/>
              <w:spacing w:line="276" w:lineRule="auto"/>
              <w:jc w:val="both"/>
            </w:pPr>
            <w:r>
              <w:t>Лейкопения</w:t>
            </w:r>
          </w:p>
        </w:tc>
        <w:tc>
          <w:tcPr>
            <w:tcW w:w="1808" w:type="dxa"/>
          </w:tcPr>
          <w:p w:rsidR="006921B7" w:rsidRDefault="006921B7" w:rsidP="002D3604">
            <w:pPr>
              <w:pStyle w:val="a7"/>
              <w:spacing w:line="276" w:lineRule="auto"/>
              <w:jc w:val="both"/>
            </w:pPr>
            <w:r w:rsidRPr="006921B7">
              <w:t>Очень редко</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6921B7" w:rsidP="002D3604">
            <w:pPr>
              <w:pStyle w:val="a7"/>
              <w:spacing w:line="276" w:lineRule="auto"/>
              <w:jc w:val="both"/>
            </w:pPr>
            <w:r>
              <w:t>Тромбоцитопения</w:t>
            </w:r>
          </w:p>
        </w:tc>
        <w:tc>
          <w:tcPr>
            <w:tcW w:w="1808" w:type="dxa"/>
          </w:tcPr>
          <w:p w:rsidR="006921B7" w:rsidRDefault="006921B7" w:rsidP="002D3604">
            <w:pPr>
              <w:pStyle w:val="a7"/>
              <w:spacing w:line="276" w:lineRule="auto"/>
              <w:jc w:val="both"/>
            </w:pPr>
            <w:r w:rsidRPr="006921B7">
              <w:t>Очень редко</w:t>
            </w:r>
          </w:p>
        </w:tc>
      </w:tr>
      <w:tr w:rsidR="006921B7" w:rsidTr="00216C8E">
        <w:tc>
          <w:tcPr>
            <w:tcW w:w="3369" w:type="dxa"/>
            <w:vMerge w:val="restart"/>
          </w:tcPr>
          <w:p w:rsidR="006921B7" w:rsidRDefault="006921B7" w:rsidP="002D3604">
            <w:pPr>
              <w:pStyle w:val="a7"/>
              <w:spacing w:line="276" w:lineRule="auto"/>
              <w:jc w:val="both"/>
            </w:pPr>
            <w:r w:rsidRPr="006921B7">
              <w:t>Нарушения со стороны обмена веществ и питания</w:t>
            </w:r>
          </w:p>
        </w:tc>
        <w:tc>
          <w:tcPr>
            <w:tcW w:w="4394" w:type="dxa"/>
          </w:tcPr>
          <w:p w:rsidR="006921B7" w:rsidRDefault="006921B7" w:rsidP="002D3604">
            <w:pPr>
              <w:pStyle w:val="a7"/>
              <w:spacing w:line="276" w:lineRule="auto"/>
              <w:jc w:val="both"/>
            </w:pPr>
            <w:r>
              <w:t>Гиперкальциемия</w:t>
            </w:r>
          </w:p>
        </w:tc>
        <w:tc>
          <w:tcPr>
            <w:tcW w:w="1808" w:type="dxa"/>
          </w:tcPr>
          <w:p w:rsidR="006921B7" w:rsidRDefault="002D3604" w:rsidP="002D3604">
            <w:pPr>
              <w:pStyle w:val="a7"/>
              <w:spacing w:line="276" w:lineRule="auto"/>
              <w:jc w:val="both"/>
            </w:pPr>
            <w:r w:rsidRPr="002D3604">
              <w:t>Очень редко</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6921B7" w:rsidP="002D3604">
            <w:pPr>
              <w:pStyle w:val="a7"/>
              <w:spacing w:line="276" w:lineRule="auto"/>
              <w:jc w:val="both"/>
            </w:pPr>
            <w:r>
              <w:t xml:space="preserve">Снижение концентрации калия и развитие гипокалиемии, особенно </w:t>
            </w:r>
          </w:p>
          <w:p w:rsidR="006921B7" w:rsidRDefault="006921B7" w:rsidP="002D3604">
            <w:pPr>
              <w:pStyle w:val="a7"/>
              <w:spacing w:line="276" w:lineRule="auto"/>
              <w:jc w:val="both"/>
            </w:pPr>
            <w:proofErr w:type="gramStart"/>
            <w:r>
              <w:lastRenderedPageBreak/>
              <w:t>значимое</w:t>
            </w:r>
            <w:proofErr w:type="gramEnd"/>
            <w:r>
              <w:t xml:space="preserve"> для пациентов, относящихся к группе риска (см. раздел «Особые указания»)</w:t>
            </w:r>
          </w:p>
        </w:tc>
        <w:tc>
          <w:tcPr>
            <w:tcW w:w="1808" w:type="dxa"/>
          </w:tcPr>
          <w:p w:rsidR="006921B7" w:rsidRDefault="006921B7" w:rsidP="002D3604">
            <w:pPr>
              <w:pStyle w:val="a7"/>
              <w:spacing w:line="276" w:lineRule="auto"/>
              <w:jc w:val="both"/>
            </w:pPr>
            <w:r>
              <w:lastRenderedPageBreak/>
              <w:t>Частота неизвестна</w:t>
            </w:r>
          </w:p>
        </w:tc>
      </w:tr>
      <w:tr w:rsidR="006921B7" w:rsidTr="00216C8E">
        <w:tc>
          <w:tcPr>
            <w:tcW w:w="3369" w:type="dxa"/>
            <w:vMerge/>
          </w:tcPr>
          <w:p w:rsidR="006921B7" w:rsidRDefault="006921B7" w:rsidP="002D3604">
            <w:pPr>
              <w:pStyle w:val="a7"/>
              <w:spacing w:line="276" w:lineRule="auto"/>
              <w:jc w:val="both"/>
            </w:pPr>
          </w:p>
        </w:tc>
        <w:tc>
          <w:tcPr>
            <w:tcW w:w="4394" w:type="dxa"/>
          </w:tcPr>
          <w:p w:rsidR="006921B7" w:rsidRDefault="00F33C31" w:rsidP="002D3604">
            <w:pPr>
              <w:pStyle w:val="a7"/>
              <w:spacing w:line="276" w:lineRule="auto"/>
              <w:jc w:val="both"/>
            </w:pPr>
            <w:r>
              <w:t>Гипон</w:t>
            </w:r>
            <w:r w:rsidR="006921B7">
              <w:t xml:space="preserve">атриемия </w:t>
            </w:r>
            <w:r w:rsidR="006921B7" w:rsidRPr="006921B7">
              <w:t>(см. раздел «Особые указания»)</w:t>
            </w:r>
          </w:p>
        </w:tc>
        <w:tc>
          <w:tcPr>
            <w:tcW w:w="1808" w:type="dxa"/>
          </w:tcPr>
          <w:p w:rsidR="006921B7" w:rsidRDefault="006921B7" w:rsidP="002D3604">
            <w:pPr>
              <w:pStyle w:val="a7"/>
              <w:spacing w:line="276" w:lineRule="auto"/>
              <w:jc w:val="both"/>
            </w:pPr>
            <w:r>
              <w:t>Частота неизвестна</w:t>
            </w:r>
          </w:p>
        </w:tc>
      </w:tr>
      <w:tr w:rsidR="00F33C31" w:rsidTr="00216C8E">
        <w:tc>
          <w:tcPr>
            <w:tcW w:w="3369" w:type="dxa"/>
            <w:vMerge w:val="restart"/>
          </w:tcPr>
          <w:p w:rsidR="00F33C31" w:rsidRDefault="00F33C31" w:rsidP="002D3604">
            <w:pPr>
              <w:pStyle w:val="a7"/>
              <w:spacing w:line="276" w:lineRule="auto"/>
              <w:jc w:val="both"/>
            </w:pPr>
            <w:r w:rsidRPr="00F33C31">
              <w:t>Нарушения со стороны нервной системы</w:t>
            </w:r>
          </w:p>
        </w:tc>
        <w:tc>
          <w:tcPr>
            <w:tcW w:w="4394" w:type="dxa"/>
          </w:tcPr>
          <w:p w:rsidR="00F33C31" w:rsidRDefault="00F33C31" w:rsidP="002D3604">
            <w:pPr>
              <w:pStyle w:val="a7"/>
              <w:spacing w:line="276" w:lineRule="auto"/>
              <w:jc w:val="both"/>
            </w:pPr>
            <w:r>
              <w:t>Вертиго</w:t>
            </w:r>
          </w:p>
        </w:tc>
        <w:tc>
          <w:tcPr>
            <w:tcW w:w="1808" w:type="dxa"/>
          </w:tcPr>
          <w:p w:rsidR="00F33C31" w:rsidRDefault="00F33C31" w:rsidP="002D3604">
            <w:pPr>
              <w:pStyle w:val="a7"/>
              <w:spacing w:line="276" w:lineRule="auto"/>
              <w:jc w:val="both"/>
            </w:pPr>
            <w:r>
              <w:t>Редко</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Повышенная утомляемость</w:t>
            </w:r>
          </w:p>
        </w:tc>
        <w:tc>
          <w:tcPr>
            <w:tcW w:w="1808" w:type="dxa"/>
          </w:tcPr>
          <w:p w:rsidR="00F33C31" w:rsidRPr="00F33C31" w:rsidRDefault="00F33C31" w:rsidP="002D3604">
            <w:pPr>
              <w:spacing w:line="276" w:lineRule="auto"/>
              <w:rPr>
                <w:sz w:val="28"/>
                <w:szCs w:val="28"/>
              </w:rPr>
            </w:pPr>
            <w:r w:rsidRPr="00F33C31">
              <w:rPr>
                <w:sz w:val="28"/>
                <w:szCs w:val="28"/>
              </w:rPr>
              <w:t>Редко</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Головная боль</w:t>
            </w:r>
          </w:p>
        </w:tc>
        <w:tc>
          <w:tcPr>
            <w:tcW w:w="1808" w:type="dxa"/>
          </w:tcPr>
          <w:p w:rsidR="00F33C31" w:rsidRPr="00F33C31" w:rsidRDefault="00F33C31" w:rsidP="002D3604">
            <w:pPr>
              <w:spacing w:line="276" w:lineRule="auto"/>
              <w:rPr>
                <w:sz w:val="28"/>
                <w:szCs w:val="28"/>
              </w:rPr>
            </w:pPr>
            <w:r w:rsidRPr="00F33C31">
              <w:rPr>
                <w:sz w:val="28"/>
                <w:szCs w:val="28"/>
              </w:rPr>
              <w:t>Редко</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Парестезия</w:t>
            </w:r>
          </w:p>
        </w:tc>
        <w:tc>
          <w:tcPr>
            <w:tcW w:w="1808" w:type="dxa"/>
          </w:tcPr>
          <w:p w:rsidR="00F33C31" w:rsidRPr="00F33C31" w:rsidRDefault="00F33C31" w:rsidP="002D3604">
            <w:pPr>
              <w:spacing w:line="276" w:lineRule="auto"/>
              <w:rPr>
                <w:sz w:val="28"/>
                <w:szCs w:val="28"/>
              </w:rPr>
            </w:pPr>
            <w:r w:rsidRPr="00F33C31">
              <w:rPr>
                <w:sz w:val="28"/>
                <w:szCs w:val="28"/>
              </w:rPr>
              <w:t>Редко</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Обморок</w:t>
            </w:r>
          </w:p>
        </w:tc>
        <w:tc>
          <w:tcPr>
            <w:tcW w:w="1808" w:type="dxa"/>
          </w:tcPr>
          <w:p w:rsidR="00F33C31" w:rsidRDefault="00F33C31" w:rsidP="002D3604">
            <w:pPr>
              <w:pStyle w:val="a7"/>
              <w:spacing w:line="276" w:lineRule="auto"/>
              <w:jc w:val="both"/>
            </w:pPr>
            <w:r>
              <w:t>Частота неизвестна</w:t>
            </w:r>
          </w:p>
        </w:tc>
      </w:tr>
      <w:tr w:rsidR="00F33C31" w:rsidTr="00216C8E">
        <w:tc>
          <w:tcPr>
            <w:tcW w:w="3369" w:type="dxa"/>
            <w:vMerge w:val="restart"/>
          </w:tcPr>
          <w:p w:rsidR="00F33C31" w:rsidRDefault="00F33C31" w:rsidP="002D3604">
            <w:pPr>
              <w:pStyle w:val="a7"/>
              <w:spacing w:line="276" w:lineRule="auto"/>
              <w:jc w:val="both"/>
            </w:pPr>
            <w:r w:rsidRPr="00F33C31">
              <w:t>Нарушения со стороны органа зрения</w:t>
            </w:r>
          </w:p>
        </w:tc>
        <w:tc>
          <w:tcPr>
            <w:tcW w:w="4394" w:type="dxa"/>
          </w:tcPr>
          <w:p w:rsidR="00F33C31" w:rsidRDefault="00F33C31" w:rsidP="002D3604">
            <w:pPr>
              <w:pStyle w:val="a7"/>
              <w:spacing w:line="276" w:lineRule="auto"/>
              <w:jc w:val="both"/>
            </w:pPr>
            <w:r>
              <w:t>Миопия</w:t>
            </w:r>
          </w:p>
        </w:tc>
        <w:tc>
          <w:tcPr>
            <w:tcW w:w="1808" w:type="dxa"/>
          </w:tcPr>
          <w:p w:rsidR="00F33C31" w:rsidRDefault="00F33C31" w:rsidP="002D3604">
            <w:pPr>
              <w:pStyle w:val="a7"/>
              <w:spacing w:line="276" w:lineRule="auto"/>
              <w:jc w:val="both"/>
            </w:pPr>
            <w:r>
              <w:t>Частота неизвестна</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Нечеткое зрение</w:t>
            </w:r>
          </w:p>
        </w:tc>
        <w:tc>
          <w:tcPr>
            <w:tcW w:w="1808" w:type="dxa"/>
          </w:tcPr>
          <w:p w:rsidR="00F33C31" w:rsidRDefault="00F33C31" w:rsidP="002D3604">
            <w:pPr>
              <w:pStyle w:val="a7"/>
              <w:spacing w:line="276" w:lineRule="auto"/>
              <w:jc w:val="both"/>
            </w:pPr>
            <w:r>
              <w:t>Частота неизвестна</w:t>
            </w:r>
          </w:p>
        </w:tc>
      </w:tr>
      <w:tr w:rsidR="00F33C31" w:rsidTr="00216C8E">
        <w:tc>
          <w:tcPr>
            <w:tcW w:w="3369" w:type="dxa"/>
            <w:vMerge/>
          </w:tcPr>
          <w:p w:rsidR="00F33C31" w:rsidRDefault="00F33C31" w:rsidP="002D3604">
            <w:pPr>
              <w:pStyle w:val="a7"/>
              <w:spacing w:line="276" w:lineRule="auto"/>
              <w:jc w:val="both"/>
            </w:pPr>
          </w:p>
        </w:tc>
        <w:tc>
          <w:tcPr>
            <w:tcW w:w="4394" w:type="dxa"/>
          </w:tcPr>
          <w:p w:rsidR="00F33C31" w:rsidRDefault="00F33C31" w:rsidP="002D3604">
            <w:pPr>
              <w:pStyle w:val="a7"/>
              <w:spacing w:line="276" w:lineRule="auto"/>
              <w:jc w:val="both"/>
            </w:pPr>
            <w:r>
              <w:t>Нарушение зрения</w:t>
            </w:r>
          </w:p>
        </w:tc>
        <w:tc>
          <w:tcPr>
            <w:tcW w:w="1808" w:type="dxa"/>
          </w:tcPr>
          <w:p w:rsidR="00F33C31" w:rsidRDefault="00F33C31" w:rsidP="002D3604">
            <w:pPr>
              <w:pStyle w:val="a7"/>
              <w:spacing w:line="276" w:lineRule="auto"/>
              <w:jc w:val="both"/>
            </w:pPr>
            <w:r>
              <w:t>Частота неизвестна</w:t>
            </w:r>
          </w:p>
        </w:tc>
      </w:tr>
      <w:tr w:rsidR="000E22CE" w:rsidTr="00216C8E">
        <w:tc>
          <w:tcPr>
            <w:tcW w:w="3369" w:type="dxa"/>
            <w:vMerge w:val="restart"/>
          </w:tcPr>
          <w:p w:rsidR="000E22CE" w:rsidRDefault="000E22CE" w:rsidP="002D3604">
            <w:pPr>
              <w:pStyle w:val="a7"/>
              <w:spacing w:line="276" w:lineRule="auto"/>
              <w:jc w:val="both"/>
            </w:pPr>
            <w:r w:rsidRPr="00F33C31">
              <w:t>Нарушения со стороны сердца</w:t>
            </w:r>
          </w:p>
        </w:tc>
        <w:tc>
          <w:tcPr>
            <w:tcW w:w="4394" w:type="dxa"/>
          </w:tcPr>
          <w:p w:rsidR="000E22CE" w:rsidRDefault="000E22CE" w:rsidP="002D3604">
            <w:pPr>
              <w:pStyle w:val="a7"/>
              <w:spacing w:line="276" w:lineRule="auto"/>
              <w:jc w:val="both"/>
            </w:pPr>
            <w:r>
              <w:t>Аритмия</w:t>
            </w:r>
          </w:p>
        </w:tc>
        <w:tc>
          <w:tcPr>
            <w:tcW w:w="1808" w:type="dxa"/>
          </w:tcPr>
          <w:p w:rsidR="000E22CE" w:rsidRDefault="000E22CE" w:rsidP="002D3604">
            <w:pPr>
              <w:pStyle w:val="a7"/>
              <w:spacing w:line="276" w:lineRule="auto"/>
              <w:jc w:val="both"/>
            </w:pPr>
            <w:r>
              <w:t>Очень редко</w:t>
            </w:r>
          </w:p>
        </w:tc>
      </w:tr>
      <w:tr w:rsidR="000E22CE" w:rsidTr="00216C8E">
        <w:tc>
          <w:tcPr>
            <w:tcW w:w="3369" w:type="dxa"/>
            <w:vMerge/>
          </w:tcPr>
          <w:p w:rsidR="000E22CE" w:rsidRDefault="000E22CE" w:rsidP="002D3604">
            <w:pPr>
              <w:pStyle w:val="a7"/>
              <w:spacing w:line="276" w:lineRule="auto"/>
              <w:jc w:val="both"/>
            </w:pPr>
          </w:p>
        </w:tc>
        <w:tc>
          <w:tcPr>
            <w:tcW w:w="4394" w:type="dxa"/>
          </w:tcPr>
          <w:p w:rsidR="000E22CE" w:rsidRDefault="000E22CE" w:rsidP="002D3604">
            <w:pPr>
              <w:pStyle w:val="a7"/>
              <w:spacing w:line="276" w:lineRule="auto"/>
              <w:jc w:val="both"/>
            </w:pPr>
            <w:r>
              <w:t xml:space="preserve">Полиморфная желудочковая тахикардия типа «пируэт» (потенциально с летальным исходом) </w:t>
            </w:r>
            <w:r w:rsidRPr="00F33C31">
              <w:t>(см. раздел «Особые указания»</w:t>
            </w:r>
            <w:r>
              <w:t xml:space="preserve"> и «Взаимодействие с другими лекарственными средствами»</w:t>
            </w:r>
            <w:r w:rsidRPr="00F33C31">
              <w:t>)</w:t>
            </w:r>
          </w:p>
        </w:tc>
        <w:tc>
          <w:tcPr>
            <w:tcW w:w="1808" w:type="dxa"/>
          </w:tcPr>
          <w:p w:rsidR="000E22CE" w:rsidRDefault="000E22CE" w:rsidP="002D3604">
            <w:pPr>
              <w:pStyle w:val="a7"/>
              <w:spacing w:line="276" w:lineRule="auto"/>
              <w:jc w:val="both"/>
            </w:pPr>
            <w:r w:rsidRPr="000E22CE">
              <w:t>Частота неизвестна</w:t>
            </w:r>
          </w:p>
        </w:tc>
      </w:tr>
      <w:tr w:rsidR="006921B7" w:rsidTr="00216C8E">
        <w:tc>
          <w:tcPr>
            <w:tcW w:w="3369" w:type="dxa"/>
          </w:tcPr>
          <w:p w:rsidR="006921B7" w:rsidRDefault="000E22CE" w:rsidP="002D3604">
            <w:pPr>
              <w:pStyle w:val="a7"/>
              <w:spacing w:line="276" w:lineRule="auto"/>
              <w:jc w:val="both"/>
            </w:pPr>
            <w:r w:rsidRPr="000E22CE">
              <w:t>Нарушения со стороны сосудов</w:t>
            </w:r>
          </w:p>
        </w:tc>
        <w:tc>
          <w:tcPr>
            <w:tcW w:w="4394" w:type="dxa"/>
          </w:tcPr>
          <w:p w:rsidR="006921B7" w:rsidRDefault="000E22CE" w:rsidP="002D3604">
            <w:pPr>
              <w:pStyle w:val="a7"/>
              <w:spacing w:line="276" w:lineRule="auto"/>
              <w:jc w:val="both"/>
            </w:pPr>
            <w:r w:rsidRPr="000E22CE">
              <w:t>Артериальная гипотензия</w:t>
            </w:r>
          </w:p>
        </w:tc>
        <w:tc>
          <w:tcPr>
            <w:tcW w:w="1808" w:type="dxa"/>
          </w:tcPr>
          <w:p w:rsidR="006921B7" w:rsidRDefault="000E22CE" w:rsidP="002D3604">
            <w:pPr>
              <w:pStyle w:val="a7"/>
              <w:spacing w:line="276" w:lineRule="auto"/>
              <w:jc w:val="both"/>
            </w:pPr>
            <w:r w:rsidRPr="000E22CE">
              <w:t>Очень редко</w:t>
            </w:r>
          </w:p>
        </w:tc>
      </w:tr>
      <w:tr w:rsidR="000E22CE" w:rsidTr="00216C8E">
        <w:tc>
          <w:tcPr>
            <w:tcW w:w="3369" w:type="dxa"/>
            <w:vMerge w:val="restart"/>
          </w:tcPr>
          <w:p w:rsidR="000E22CE" w:rsidRDefault="000E22CE" w:rsidP="002D3604">
            <w:pPr>
              <w:pStyle w:val="a7"/>
              <w:spacing w:line="276" w:lineRule="auto"/>
              <w:jc w:val="both"/>
            </w:pPr>
            <w:r w:rsidRPr="000E22CE">
              <w:t>Нарушения со стороны желудочно-кишечного тракта</w:t>
            </w:r>
          </w:p>
        </w:tc>
        <w:tc>
          <w:tcPr>
            <w:tcW w:w="4394" w:type="dxa"/>
          </w:tcPr>
          <w:p w:rsidR="000E22CE" w:rsidRDefault="000E22CE" w:rsidP="002D3604">
            <w:pPr>
              <w:pStyle w:val="a7"/>
              <w:spacing w:line="276" w:lineRule="auto"/>
              <w:jc w:val="both"/>
            </w:pPr>
            <w:r>
              <w:t>Рвота</w:t>
            </w:r>
          </w:p>
        </w:tc>
        <w:tc>
          <w:tcPr>
            <w:tcW w:w="1808" w:type="dxa"/>
          </w:tcPr>
          <w:p w:rsidR="000E22CE" w:rsidRDefault="000E22CE" w:rsidP="002D3604">
            <w:pPr>
              <w:pStyle w:val="a7"/>
              <w:spacing w:line="276" w:lineRule="auto"/>
              <w:jc w:val="both"/>
            </w:pPr>
            <w:r>
              <w:t>Нечасто</w:t>
            </w:r>
          </w:p>
        </w:tc>
      </w:tr>
      <w:tr w:rsidR="000E22CE" w:rsidTr="00216C8E">
        <w:tc>
          <w:tcPr>
            <w:tcW w:w="3369" w:type="dxa"/>
            <w:vMerge/>
          </w:tcPr>
          <w:p w:rsidR="000E22CE" w:rsidRDefault="000E22CE" w:rsidP="002D3604">
            <w:pPr>
              <w:pStyle w:val="a7"/>
              <w:spacing w:line="276" w:lineRule="auto"/>
              <w:jc w:val="both"/>
            </w:pPr>
          </w:p>
        </w:tc>
        <w:tc>
          <w:tcPr>
            <w:tcW w:w="4394" w:type="dxa"/>
          </w:tcPr>
          <w:p w:rsidR="000E22CE" w:rsidRDefault="000E22CE" w:rsidP="002D3604">
            <w:pPr>
              <w:pStyle w:val="a7"/>
              <w:spacing w:line="276" w:lineRule="auto"/>
              <w:jc w:val="both"/>
            </w:pPr>
            <w:r>
              <w:t>Тошнота</w:t>
            </w:r>
          </w:p>
        </w:tc>
        <w:tc>
          <w:tcPr>
            <w:tcW w:w="1808" w:type="dxa"/>
          </w:tcPr>
          <w:p w:rsidR="000E22CE" w:rsidRDefault="000E22CE" w:rsidP="002D3604">
            <w:pPr>
              <w:pStyle w:val="a7"/>
              <w:spacing w:line="276" w:lineRule="auto"/>
              <w:jc w:val="both"/>
            </w:pPr>
            <w:r>
              <w:t>Редко</w:t>
            </w:r>
          </w:p>
        </w:tc>
      </w:tr>
      <w:tr w:rsidR="000E22CE" w:rsidTr="00216C8E">
        <w:tc>
          <w:tcPr>
            <w:tcW w:w="3369" w:type="dxa"/>
            <w:vMerge/>
          </w:tcPr>
          <w:p w:rsidR="000E22CE" w:rsidRDefault="000E22CE" w:rsidP="002D3604">
            <w:pPr>
              <w:pStyle w:val="a7"/>
              <w:spacing w:line="276" w:lineRule="auto"/>
              <w:jc w:val="both"/>
            </w:pPr>
          </w:p>
        </w:tc>
        <w:tc>
          <w:tcPr>
            <w:tcW w:w="4394" w:type="dxa"/>
          </w:tcPr>
          <w:p w:rsidR="000E22CE" w:rsidRDefault="000E22CE" w:rsidP="002D3604">
            <w:pPr>
              <w:pStyle w:val="a7"/>
              <w:spacing w:line="276" w:lineRule="auto"/>
              <w:jc w:val="both"/>
            </w:pPr>
            <w:r>
              <w:t>Запор</w:t>
            </w:r>
          </w:p>
        </w:tc>
        <w:tc>
          <w:tcPr>
            <w:tcW w:w="1808" w:type="dxa"/>
          </w:tcPr>
          <w:p w:rsidR="000E22CE" w:rsidRDefault="000E22CE" w:rsidP="002D3604">
            <w:pPr>
              <w:pStyle w:val="a7"/>
              <w:spacing w:line="276" w:lineRule="auto"/>
              <w:jc w:val="both"/>
            </w:pPr>
            <w:r>
              <w:t>Редко</w:t>
            </w:r>
          </w:p>
        </w:tc>
      </w:tr>
      <w:tr w:rsidR="000E22CE" w:rsidTr="00216C8E">
        <w:tc>
          <w:tcPr>
            <w:tcW w:w="3369" w:type="dxa"/>
            <w:vMerge/>
          </w:tcPr>
          <w:p w:rsidR="000E22CE" w:rsidRDefault="000E22CE" w:rsidP="002D3604">
            <w:pPr>
              <w:pStyle w:val="a7"/>
              <w:spacing w:line="276" w:lineRule="auto"/>
              <w:jc w:val="both"/>
            </w:pPr>
          </w:p>
        </w:tc>
        <w:tc>
          <w:tcPr>
            <w:tcW w:w="4394" w:type="dxa"/>
          </w:tcPr>
          <w:p w:rsidR="000E22CE" w:rsidRDefault="000E22CE" w:rsidP="002D3604">
            <w:pPr>
              <w:pStyle w:val="a7"/>
              <w:spacing w:line="276" w:lineRule="auto"/>
              <w:jc w:val="both"/>
            </w:pPr>
            <w:r>
              <w:t>Сухость во рту</w:t>
            </w:r>
          </w:p>
        </w:tc>
        <w:tc>
          <w:tcPr>
            <w:tcW w:w="1808" w:type="dxa"/>
          </w:tcPr>
          <w:p w:rsidR="000E22CE" w:rsidRDefault="000E22CE" w:rsidP="002D3604">
            <w:pPr>
              <w:pStyle w:val="a7"/>
              <w:spacing w:line="276" w:lineRule="auto"/>
              <w:jc w:val="both"/>
            </w:pPr>
            <w:r>
              <w:t>Редко</w:t>
            </w:r>
          </w:p>
        </w:tc>
      </w:tr>
      <w:tr w:rsidR="000E22CE" w:rsidTr="00216C8E">
        <w:tc>
          <w:tcPr>
            <w:tcW w:w="3369" w:type="dxa"/>
            <w:vMerge/>
          </w:tcPr>
          <w:p w:rsidR="000E22CE" w:rsidRDefault="000E22CE" w:rsidP="002D3604">
            <w:pPr>
              <w:pStyle w:val="a7"/>
              <w:spacing w:line="276" w:lineRule="auto"/>
              <w:jc w:val="both"/>
            </w:pPr>
          </w:p>
        </w:tc>
        <w:tc>
          <w:tcPr>
            <w:tcW w:w="4394" w:type="dxa"/>
          </w:tcPr>
          <w:p w:rsidR="000E22CE" w:rsidRDefault="000E22CE" w:rsidP="002D3604">
            <w:pPr>
              <w:pStyle w:val="a7"/>
              <w:spacing w:line="276" w:lineRule="auto"/>
              <w:jc w:val="both"/>
            </w:pPr>
            <w:r>
              <w:t>Панкреатит</w:t>
            </w:r>
          </w:p>
        </w:tc>
        <w:tc>
          <w:tcPr>
            <w:tcW w:w="1808" w:type="dxa"/>
          </w:tcPr>
          <w:p w:rsidR="000E22CE" w:rsidRDefault="000E22CE" w:rsidP="002D3604">
            <w:pPr>
              <w:pStyle w:val="a7"/>
              <w:spacing w:line="276" w:lineRule="auto"/>
              <w:jc w:val="both"/>
            </w:pPr>
            <w:r>
              <w:t>Очень редко</w:t>
            </w:r>
          </w:p>
        </w:tc>
      </w:tr>
      <w:tr w:rsidR="00216C8E" w:rsidTr="00216C8E">
        <w:tc>
          <w:tcPr>
            <w:tcW w:w="3369" w:type="dxa"/>
            <w:vMerge w:val="restart"/>
          </w:tcPr>
          <w:p w:rsidR="00216C8E" w:rsidRDefault="00216C8E" w:rsidP="002D3604">
            <w:pPr>
              <w:pStyle w:val="a7"/>
              <w:spacing w:line="276" w:lineRule="auto"/>
              <w:jc w:val="both"/>
            </w:pPr>
            <w:r w:rsidRPr="000E22CE">
              <w:t>Нарушения со стороны печени и желчевыводящих путей</w:t>
            </w:r>
          </w:p>
        </w:tc>
        <w:tc>
          <w:tcPr>
            <w:tcW w:w="4394" w:type="dxa"/>
          </w:tcPr>
          <w:p w:rsidR="00216C8E" w:rsidRDefault="00216C8E" w:rsidP="002D3604">
            <w:pPr>
              <w:pStyle w:val="a7"/>
              <w:spacing w:line="276" w:lineRule="auto"/>
              <w:jc w:val="both"/>
            </w:pPr>
            <w:r w:rsidRPr="000E22CE">
              <w:t>Нарушение функции печени</w:t>
            </w:r>
          </w:p>
        </w:tc>
        <w:tc>
          <w:tcPr>
            <w:tcW w:w="1808" w:type="dxa"/>
          </w:tcPr>
          <w:p w:rsidR="00216C8E" w:rsidRDefault="002D3604" w:rsidP="002D3604">
            <w:pPr>
              <w:pStyle w:val="a7"/>
              <w:spacing w:line="276" w:lineRule="auto"/>
              <w:jc w:val="both"/>
            </w:pPr>
            <w:r w:rsidRPr="002D3604">
              <w:t>Очень редко</w:t>
            </w:r>
          </w:p>
        </w:tc>
      </w:tr>
      <w:tr w:rsidR="00216C8E" w:rsidTr="00216C8E">
        <w:tc>
          <w:tcPr>
            <w:tcW w:w="3369" w:type="dxa"/>
            <w:vMerge/>
          </w:tcPr>
          <w:p w:rsidR="00216C8E" w:rsidRDefault="00216C8E" w:rsidP="002D3604">
            <w:pPr>
              <w:pStyle w:val="a7"/>
              <w:spacing w:line="276" w:lineRule="auto"/>
              <w:jc w:val="both"/>
            </w:pPr>
          </w:p>
        </w:tc>
        <w:tc>
          <w:tcPr>
            <w:tcW w:w="4394" w:type="dxa"/>
          </w:tcPr>
          <w:p w:rsidR="00216C8E" w:rsidRDefault="00216C8E" w:rsidP="002D3604">
            <w:pPr>
              <w:pStyle w:val="a7"/>
              <w:spacing w:line="276" w:lineRule="auto"/>
            </w:pPr>
            <w:r>
              <w:t>Возможно развитие печеночной энцефалопатии в случае печеночной недостаточности (см. разделы «Противопоказания» и «Особые указания»)</w:t>
            </w:r>
          </w:p>
        </w:tc>
        <w:tc>
          <w:tcPr>
            <w:tcW w:w="1808" w:type="dxa"/>
          </w:tcPr>
          <w:p w:rsidR="00216C8E" w:rsidRDefault="00216C8E" w:rsidP="002D3604">
            <w:pPr>
              <w:pStyle w:val="a7"/>
              <w:spacing w:line="276" w:lineRule="auto"/>
              <w:jc w:val="both"/>
            </w:pPr>
            <w:r w:rsidRPr="00216C8E">
              <w:t>Частота неизвестна</w:t>
            </w:r>
          </w:p>
        </w:tc>
      </w:tr>
      <w:tr w:rsidR="00216C8E" w:rsidTr="00216C8E">
        <w:tc>
          <w:tcPr>
            <w:tcW w:w="3369" w:type="dxa"/>
            <w:vMerge/>
          </w:tcPr>
          <w:p w:rsidR="00216C8E" w:rsidRDefault="00216C8E" w:rsidP="002D3604">
            <w:pPr>
              <w:pStyle w:val="a7"/>
              <w:spacing w:line="276" w:lineRule="auto"/>
              <w:jc w:val="both"/>
            </w:pPr>
          </w:p>
        </w:tc>
        <w:tc>
          <w:tcPr>
            <w:tcW w:w="4394" w:type="dxa"/>
          </w:tcPr>
          <w:p w:rsidR="00216C8E" w:rsidRDefault="00216C8E" w:rsidP="002D3604">
            <w:pPr>
              <w:pStyle w:val="a7"/>
              <w:spacing w:line="276" w:lineRule="auto"/>
              <w:jc w:val="both"/>
            </w:pPr>
            <w:r>
              <w:t>Гепатит</w:t>
            </w:r>
          </w:p>
        </w:tc>
        <w:tc>
          <w:tcPr>
            <w:tcW w:w="1808" w:type="dxa"/>
          </w:tcPr>
          <w:p w:rsidR="00216C8E" w:rsidRDefault="00216C8E" w:rsidP="002D3604">
            <w:pPr>
              <w:pStyle w:val="a7"/>
              <w:spacing w:line="276" w:lineRule="auto"/>
              <w:jc w:val="both"/>
            </w:pPr>
            <w:r w:rsidRPr="00216C8E">
              <w:t>Частота неизвестна</w:t>
            </w:r>
          </w:p>
        </w:tc>
      </w:tr>
      <w:tr w:rsidR="00D91972" w:rsidTr="00216C8E">
        <w:tc>
          <w:tcPr>
            <w:tcW w:w="3369" w:type="dxa"/>
            <w:vMerge w:val="restart"/>
          </w:tcPr>
          <w:p w:rsidR="00D91972" w:rsidRDefault="00D91972" w:rsidP="002D3604">
            <w:pPr>
              <w:pStyle w:val="a7"/>
              <w:spacing w:line="276" w:lineRule="auto"/>
              <w:jc w:val="both"/>
            </w:pPr>
            <w:r w:rsidRPr="00216C8E">
              <w:t>Нарушения со стороны кожи и подкожных тканей</w:t>
            </w:r>
          </w:p>
        </w:tc>
        <w:tc>
          <w:tcPr>
            <w:tcW w:w="4394" w:type="dxa"/>
          </w:tcPr>
          <w:p w:rsidR="00D91972" w:rsidRDefault="00D91972" w:rsidP="002D3604">
            <w:pPr>
              <w:pStyle w:val="a7"/>
              <w:spacing w:line="276" w:lineRule="auto"/>
              <w:jc w:val="both"/>
            </w:pPr>
            <w:r>
              <w:t>Реакции повышенной чувствительности</w:t>
            </w:r>
          </w:p>
        </w:tc>
        <w:tc>
          <w:tcPr>
            <w:tcW w:w="1808" w:type="dxa"/>
          </w:tcPr>
          <w:p w:rsidR="00D91972" w:rsidRDefault="002D3604" w:rsidP="002D3604">
            <w:pPr>
              <w:pStyle w:val="a7"/>
              <w:spacing w:line="276" w:lineRule="auto"/>
              <w:jc w:val="both"/>
            </w:pPr>
            <w:r>
              <w:t>Часто</w:t>
            </w:r>
          </w:p>
        </w:tc>
      </w:tr>
      <w:tr w:rsidR="00D91972" w:rsidTr="00216C8E">
        <w:tc>
          <w:tcPr>
            <w:tcW w:w="3369" w:type="dxa"/>
            <w:vMerge/>
          </w:tcPr>
          <w:p w:rsidR="00D91972" w:rsidRDefault="00D91972" w:rsidP="002D3604">
            <w:pPr>
              <w:pStyle w:val="a7"/>
              <w:spacing w:line="276" w:lineRule="auto"/>
              <w:jc w:val="both"/>
            </w:pPr>
          </w:p>
        </w:tc>
        <w:tc>
          <w:tcPr>
            <w:tcW w:w="4394" w:type="dxa"/>
          </w:tcPr>
          <w:p w:rsidR="00D91972" w:rsidRDefault="00D91972" w:rsidP="002D3604">
            <w:pPr>
              <w:pStyle w:val="a7"/>
              <w:spacing w:line="276" w:lineRule="auto"/>
              <w:jc w:val="both"/>
            </w:pPr>
            <w:proofErr w:type="spellStart"/>
            <w:r w:rsidRPr="00D91972">
              <w:t>Макуло</w:t>
            </w:r>
            <w:proofErr w:type="spellEnd"/>
            <w:r w:rsidRPr="00D91972">
              <w:t>-папулезная сыпь</w:t>
            </w:r>
          </w:p>
        </w:tc>
        <w:tc>
          <w:tcPr>
            <w:tcW w:w="1808" w:type="dxa"/>
          </w:tcPr>
          <w:p w:rsidR="00D91972" w:rsidRDefault="002D3604" w:rsidP="002D3604">
            <w:pPr>
              <w:pStyle w:val="a7"/>
              <w:spacing w:line="276" w:lineRule="auto"/>
              <w:jc w:val="both"/>
            </w:pPr>
            <w:r>
              <w:t>Часто</w:t>
            </w:r>
          </w:p>
        </w:tc>
      </w:tr>
      <w:tr w:rsidR="00D91972" w:rsidTr="00216C8E">
        <w:tc>
          <w:tcPr>
            <w:tcW w:w="3369" w:type="dxa"/>
            <w:vMerge/>
          </w:tcPr>
          <w:p w:rsidR="00D91972" w:rsidRDefault="00D91972" w:rsidP="002D3604">
            <w:pPr>
              <w:pStyle w:val="a7"/>
              <w:spacing w:line="276" w:lineRule="auto"/>
              <w:jc w:val="both"/>
            </w:pPr>
          </w:p>
        </w:tc>
        <w:tc>
          <w:tcPr>
            <w:tcW w:w="4394" w:type="dxa"/>
          </w:tcPr>
          <w:p w:rsidR="00D91972" w:rsidRDefault="00D91972" w:rsidP="002D3604">
            <w:pPr>
              <w:pStyle w:val="a7"/>
              <w:spacing w:line="276" w:lineRule="auto"/>
              <w:jc w:val="both"/>
            </w:pPr>
            <w:r>
              <w:t>Пурпура</w:t>
            </w:r>
          </w:p>
        </w:tc>
        <w:tc>
          <w:tcPr>
            <w:tcW w:w="1808" w:type="dxa"/>
          </w:tcPr>
          <w:p w:rsidR="00D91972" w:rsidRDefault="002D3604" w:rsidP="002D3604">
            <w:pPr>
              <w:pStyle w:val="a7"/>
              <w:spacing w:line="276" w:lineRule="auto"/>
              <w:jc w:val="both"/>
            </w:pPr>
            <w:r>
              <w:t>Нечасто</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Default="002D3604" w:rsidP="002D3604">
            <w:pPr>
              <w:pStyle w:val="a7"/>
              <w:spacing w:line="276" w:lineRule="auto"/>
              <w:jc w:val="both"/>
            </w:pPr>
            <w:r w:rsidRPr="00D91972">
              <w:t>Ангионевротический отек</w:t>
            </w:r>
          </w:p>
        </w:tc>
        <w:tc>
          <w:tcPr>
            <w:tcW w:w="1808" w:type="dxa"/>
          </w:tcPr>
          <w:p w:rsidR="002D3604" w:rsidRPr="002D3604" w:rsidRDefault="002D3604">
            <w:pPr>
              <w:rPr>
                <w:sz w:val="28"/>
                <w:szCs w:val="28"/>
              </w:rPr>
            </w:pPr>
            <w:r w:rsidRPr="002D3604">
              <w:rPr>
                <w:sz w:val="28"/>
                <w:szCs w:val="28"/>
              </w:rPr>
              <w:t>Очень редко</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Pr="00D91972" w:rsidRDefault="002D3604" w:rsidP="002D3604">
            <w:pPr>
              <w:pStyle w:val="a7"/>
              <w:spacing w:line="276" w:lineRule="auto"/>
              <w:jc w:val="both"/>
            </w:pPr>
            <w:r>
              <w:t>Крапивница</w:t>
            </w:r>
          </w:p>
        </w:tc>
        <w:tc>
          <w:tcPr>
            <w:tcW w:w="1808" w:type="dxa"/>
          </w:tcPr>
          <w:p w:rsidR="002D3604" w:rsidRPr="002D3604" w:rsidRDefault="002D3604">
            <w:pPr>
              <w:rPr>
                <w:sz w:val="28"/>
                <w:szCs w:val="28"/>
              </w:rPr>
            </w:pPr>
            <w:r w:rsidRPr="002D3604">
              <w:rPr>
                <w:sz w:val="28"/>
                <w:szCs w:val="28"/>
              </w:rPr>
              <w:t>Очень редко</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Default="002D3604" w:rsidP="002D3604">
            <w:pPr>
              <w:pStyle w:val="a7"/>
              <w:spacing w:line="276" w:lineRule="auto"/>
              <w:jc w:val="both"/>
            </w:pPr>
            <w:r>
              <w:t xml:space="preserve">Токсический </w:t>
            </w:r>
            <w:proofErr w:type="spellStart"/>
            <w:r>
              <w:t>эпидермальный</w:t>
            </w:r>
            <w:proofErr w:type="spellEnd"/>
            <w:r>
              <w:t xml:space="preserve"> </w:t>
            </w:r>
          </w:p>
          <w:p w:rsidR="002D3604" w:rsidRPr="00D91972" w:rsidRDefault="002D3604" w:rsidP="002D3604">
            <w:pPr>
              <w:pStyle w:val="a7"/>
              <w:spacing w:line="276" w:lineRule="auto"/>
              <w:jc w:val="both"/>
            </w:pPr>
            <w:proofErr w:type="spellStart"/>
            <w:r>
              <w:t>некролиз</w:t>
            </w:r>
            <w:proofErr w:type="spellEnd"/>
          </w:p>
        </w:tc>
        <w:tc>
          <w:tcPr>
            <w:tcW w:w="1808" w:type="dxa"/>
          </w:tcPr>
          <w:p w:rsidR="002D3604" w:rsidRPr="002D3604" w:rsidRDefault="002D3604">
            <w:pPr>
              <w:rPr>
                <w:sz w:val="28"/>
                <w:szCs w:val="28"/>
              </w:rPr>
            </w:pPr>
            <w:r w:rsidRPr="002D3604">
              <w:rPr>
                <w:sz w:val="28"/>
                <w:szCs w:val="28"/>
              </w:rPr>
              <w:t>Очень редко</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Pr="00D91972" w:rsidRDefault="002D3604" w:rsidP="002D3604">
            <w:pPr>
              <w:pStyle w:val="a7"/>
              <w:spacing w:line="276" w:lineRule="auto"/>
              <w:jc w:val="both"/>
            </w:pPr>
            <w:r w:rsidRPr="00D91972">
              <w:t xml:space="preserve">Синдром </w:t>
            </w:r>
            <w:proofErr w:type="spellStart"/>
            <w:r w:rsidRPr="00D91972">
              <w:t>Стивенса</w:t>
            </w:r>
            <w:proofErr w:type="spellEnd"/>
            <w:r w:rsidRPr="00D91972">
              <w:t>-Джонсона</w:t>
            </w:r>
          </w:p>
        </w:tc>
        <w:tc>
          <w:tcPr>
            <w:tcW w:w="1808" w:type="dxa"/>
          </w:tcPr>
          <w:p w:rsidR="002D3604" w:rsidRPr="002D3604" w:rsidRDefault="002D3604">
            <w:pPr>
              <w:rPr>
                <w:sz w:val="28"/>
                <w:szCs w:val="28"/>
              </w:rPr>
            </w:pPr>
            <w:r w:rsidRPr="002D3604">
              <w:rPr>
                <w:sz w:val="28"/>
                <w:szCs w:val="28"/>
              </w:rPr>
              <w:t>Очень редко</w:t>
            </w:r>
          </w:p>
        </w:tc>
      </w:tr>
      <w:tr w:rsidR="00D91972" w:rsidTr="00216C8E">
        <w:tc>
          <w:tcPr>
            <w:tcW w:w="3369" w:type="dxa"/>
            <w:vMerge/>
          </w:tcPr>
          <w:p w:rsidR="00D91972" w:rsidRDefault="00D91972" w:rsidP="002D3604">
            <w:pPr>
              <w:pStyle w:val="a7"/>
              <w:spacing w:line="276" w:lineRule="auto"/>
              <w:jc w:val="both"/>
            </w:pPr>
          </w:p>
        </w:tc>
        <w:tc>
          <w:tcPr>
            <w:tcW w:w="4394" w:type="dxa"/>
          </w:tcPr>
          <w:p w:rsidR="00D91972" w:rsidRDefault="00D91972" w:rsidP="002D3604">
            <w:pPr>
              <w:pStyle w:val="a7"/>
              <w:spacing w:line="276" w:lineRule="auto"/>
              <w:jc w:val="both"/>
            </w:pPr>
            <w:r>
              <w:t xml:space="preserve">Возможное обострение уже </w:t>
            </w:r>
          </w:p>
          <w:p w:rsidR="00D91972" w:rsidRDefault="00D91972" w:rsidP="002D3604">
            <w:pPr>
              <w:pStyle w:val="a7"/>
              <w:spacing w:line="276" w:lineRule="auto"/>
              <w:jc w:val="both"/>
            </w:pPr>
            <w:r>
              <w:t xml:space="preserve">имеющейся острой системной </w:t>
            </w:r>
          </w:p>
          <w:p w:rsidR="00D91972" w:rsidRPr="00D91972" w:rsidRDefault="00D91972" w:rsidP="002D3604">
            <w:pPr>
              <w:pStyle w:val="a7"/>
              <w:spacing w:line="276" w:lineRule="auto"/>
              <w:jc w:val="both"/>
            </w:pPr>
            <w:r>
              <w:t>красной волчанки</w:t>
            </w:r>
          </w:p>
        </w:tc>
        <w:tc>
          <w:tcPr>
            <w:tcW w:w="1808" w:type="dxa"/>
          </w:tcPr>
          <w:p w:rsidR="00D91972" w:rsidRDefault="00D91972" w:rsidP="002D3604">
            <w:pPr>
              <w:pStyle w:val="a7"/>
              <w:spacing w:line="276" w:lineRule="auto"/>
              <w:jc w:val="both"/>
            </w:pPr>
            <w:r w:rsidRPr="00D91972">
              <w:t>Частота неизвестна</w:t>
            </w:r>
          </w:p>
        </w:tc>
      </w:tr>
      <w:tr w:rsidR="00D91972" w:rsidTr="00216C8E">
        <w:tc>
          <w:tcPr>
            <w:tcW w:w="3369" w:type="dxa"/>
            <w:vMerge/>
          </w:tcPr>
          <w:p w:rsidR="00D91972" w:rsidRDefault="00D91972" w:rsidP="002D3604">
            <w:pPr>
              <w:pStyle w:val="a7"/>
              <w:spacing w:line="276" w:lineRule="auto"/>
              <w:jc w:val="both"/>
            </w:pPr>
          </w:p>
        </w:tc>
        <w:tc>
          <w:tcPr>
            <w:tcW w:w="4394" w:type="dxa"/>
          </w:tcPr>
          <w:p w:rsidR="00D91972" w:rsidRPr="00D91972" w:rsidRDefault="00D91972" w:rsidP="002D3604">
            <w:pPr>
              <w:pStyle w:val="a7"/>
              <w:spacing w:line="276" w:lineRule="auto"/>
              <w:jc w:val="both"/>
            </w:pPr>
            <w:r>
              <w:t>Реакции фоточувствительности (см. раздел «Особые указания»)</w:t>
            </w:r>
          </w:p>
        </w:tc>
        <w:tc>
          <w:tcPr>
            <w:tcW w:w="1808" w:type="dxa"/>
          </w:tcPr>
          <w:p w:rsidR="00D91972" w:rsidRDefault="00D91972" w:rsidP="002D3604">
            <w:pPr>
              <w:pStyle w:val="a7"/>
              <w:spacing w:line="276" w:lineRule="auto"/>
              <w:jc w:val="both"/>
            </w:pPr>
            <w:r w:rsidRPr="00D91972">
              <w:t>Частота неизвестна</w:t>
            </w:r>
          </w:p>
        </w:tc>
      </w:tr>
      <w:tr w:rsidR="00D91972" w:rsidTr="00216C8E">
        <w:tc>
          <w:tcPr>
            <w:tcW w:w="3369" w:type="dxa"/>
          </w:tcPr>
          <w:p w:rsidR="00D91972" w:rsidRDefault="00D91972" w:rsidP="002D3604">
            <w:pPr>
              <w:pStyle w:val="a7"/>
              <w:spacing w:line="276" w:lineRule="auto"/>
              <w:jc w:val="both"/>
            </w:pPr>
            <w:r w:rsidRPr="00D91972">
              <w:t>Нарушения со стороны почек и мочевыводящих путей</w:t>
            </w:r>
          </w:p>
        </w:tc>
        <w:tc>
          <w:tcPr>
            <w:tcW w:w="4394" w:type="dxa"/>
          </w:tcPr>
          <w:p w:rsidR="00D91972" w:rsidRPr="00D91972" w:rsidRDefault="002D3604" w:rsidP="002D3604">
            <w:pPr>
              <w:pStyle w:val="a7"/>
              <w:spacing w:line="276" w:lineRule="auto"/>
              <w:jc w:val="both"/>
            </w:pPr>
            <w:r>
              <w:t>Почечная недостаточность</w:t>
            </w:r>
          </w:p>
        </w:tc>
        <w:tc>
          <w:tcPr>
            <w:tcW w:w="1808" w:type="dxa"/>
          </w:tcPr>
          <w:p w:rsidR="00D91972" w:rsidRDefault="002D3604" w:rsidP="002D3604">
            <w:pPr>
              <w:pStyle w:val="a7"/>
              <w:spacing w:line="276" w:lineRule="auto"/>
              <w:jc w:val="both"/>
            </w:pPr>
            <w:r w:rsidRPr="002D3604">
              <w:t>Очень редко</w:t>
            </w:r>
          </w:p>
        </w:tc>
      </w:tr>
      <w:tr w:rsidR="002D3604" w:rsidTr="00216C8E">
        <w:tc>
          <w:tcPr>
            <w:tcW w:w="3369" w:type="dxa"/>
            <w:vMerge w:val="restart"/>
          </w:tcPr>
          <w:p w:rsidR="002D3604" w:rsidRDefault="002D3604" w:rsidP="002D3604">
            <w:pPr>
              <w:pStyle w:val="a7"/>
              <w:spacing w:line="276" w:lineRule="auto"/>
              <w:jc w:val="both"/>
            </w:pPr>
            <w:r w:rsidRPr="002D3604">
              <w:t xml:space="preserve">Лабораторные и инструментальные данные  </w:t>
            </w:r>
          </w:p>
        </w:tc>
        <w:tc>
          <w:tcPr>
            <w:tcW w:w="4394" w:type="dxa"/>
          </w:tcPr>
          <w:p w:rsidR="002D3604" w:rsidRDefault="002D3604" w:rsidP="002D3604">
            <w:pPr>
              <w:pStyle w:val="a7"/>
              <w:spacing w:line="276" w:lineRule="auto"/>
              <w:jc w:val="both"/>
            </w:pPr>
            <w:r>
              <w:t xml:space="preserve">Удлинение интервала QT на ЭКГ </w:t>
            </w:r>
          </w:p>
          <w:p w:rsidR="002D3604" w:rsidRDefault="002D3604" w:rsidP="002D3604">
            <w:pPr>
              <w:pStyle w:val="a7"/>
              <w:spacing w:line="276" w:lineRule="auto"/>
              <w:jc w:val="both"/>
            </w:pPr>
            <w:proofErr w:type="gramStart"/>
            <w:r>
              <w:t xml:space="preserve">(см. разделы «Взаимодействие с </w:t>
            </w:r>
            <w:proofErr w:type="gramEnd"/>
          </w:p>
          <w:p w:rsidR="002D3604" w:rsidRDefault="002D3604" w:rsidP="002D3604">
            <w:pPr>
              <w:pStyle w:val="a7"/>
              <w:spacing w:line="276" w:lineRule="auto"/>
              <w:jc w:val="both"/>
            </w:pPr>
            <w:r>
              <w:t xml:space="preserve">другими лекарственными </w:t>
            </w:r>
          </w:p>
          <w:p w:rsidR="002D3604" w:rsidRPr="00D91972" w:rsidRDefault="002D3604" w:rsidP="002D3604">
            <w:pPr>
              <w:pStyle w:val="a7"/>
              <w:spacing w:line="276" w:lineRule="auto"/>
              <w:jc w:val="both"/>
            </w:pPr>
            <w:r>
              <w:t>средствами» и «Особые указания»)</w:t>
            </w:r>
          </w:p>
        </w:tc>
        <w:tc>
          <w:tcPr>
            <w:tcW w:w="1808" w:type="dxa"/>
          </w:tcPr>
          <w:p w:rsidR="002D3604" w:rsidRDefault="002D3604" w:rsidP="002D3604">
            <w:pPr>
              <w:pStyle w:val="a7"/>
              <w:spacing w:line="276" w:lineRule="auto"/>
              <w:jc w:val="both"/>
            </w:pPr>
            <w:r w:rsidRPr="002D3604">
              <w:t>Частота неизвестна</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Pr="00D91972" w:rsidRDefault="002D3604" w:rsidP="002D3604">
            <w:pPr>
              <w:pStyle w:val="a7"/>
              <w:spacing w:line="276" w:lineRule="auto"/>
              <w:jc w:val="both"/>
            </w:pPr>
            <w:r>
              <w:t>Повышение концентрации глюкозы в крови (см. раздел «Особые ука</w:t>
            </w:r>
            <w:r w:rsidR="009E30EC">
              <w:t>з</w:t>
            </w:r>
            <w:r>
              <w:t>ания»)</w:t>
            </w:r>
          </w:p>
        </w:tc>
        <w:tc>
          <w:tcPr>
            <w:tcW w:w="1808" w:type="dxa"/>
          </w:tcPr>
          <w:p w:rsidR="002D3604" w:rsidRDefault="002D3604" w:rsidP="002D3604">
            <w:pPr>
              <w:pStyle w:val="a7"/>
              <w:spacing w:line="276" w:lineRule="auto"/>
              <w:jc w:val="both"/>
            </w:pPr>
            <w:r w:rsidRPr="002D3604">
              <w:t>Частота неизвестна</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Pr="00D91972" w:rsidRDefault="002D3604" w:rsidP="002D3604">
            <w:pPr>
              <w:pStyle w:val="a7"/>
              <w:spacing w:line="276" w:lineRule="auto"/>
              <w:jc w:val="both"/>
            </w:pPr>
            <w:r>
              <w:t>Повышение концентрации мочевой кислоты в крови (см. раздел «Особые указания»)</w:t>
            </w:r>
          </w:p>
        </w:tc>
        <w:tc>
          <w:tcPr>
            <w:tcW w:w="1808" w:type="dxa"/>
          </w:tcPr>
          <w:p w:rsidR="002D3604" w:rsidRDefault="002D3604" w:rsidP="002D3604">
            <w:pPr>
              <w:pStyle w:val="a7"/>
              <w:spacing w:line="276" w:lineRule="auto"/>
              <w:jc w:val="both"/>
            </w:pPr>
            <w:r w:rsidRPr="002D3604">
              <w:t>Частота неизвестна</w:t>
            </w:r>
          </w:p>
        </w:tc>
      </w:tr>
      <w:tr w:rsidR="002D3604" w:rsidTr="00216C8E">
        <w:tc>
          <w:tcPr>
            <w:tcW w:w="3369" w:type="dxa"/>
            <w:vMerge/>
          </w:tcPr>
          <w:p w:rsidR="002D3604" w:rsidRDefault="002D3604" w:rsidP="002D3604">
            <w:pPr>
              <w:pStyle w:val="a7"/>
              <w:spacing w:line="276" w:lineRule="auto"/>
              <w:jc w:val="both"/>
            </w:pPr>
          </w:p>
        </w:tc>
        <w:tc>
          <w:tcPr>
            <w:tcW w:w="4394" w:type="dxa"/>
          </w:tcPr>
          <w:p w:rsidR="002D3604" w:rsidRPr="00D91972" w:rsidRDefault="002D3604" w:rsidP="002D3604">
            <w:pPr>
              <w:pStyle w:val="a7"/>
              <w:spacing w:line="276" w:lineRule="auto"/>
              <w:jc w:val="both"/>
            </w:pPr>
            <w:r>
              <w:t>Повышение активности печеночных ферментов</w:t>
            </w:r>
          </w:p>
        </w:tc>
        <w:tc>
          <w:tcPr>
            <w:tcW w:w="1808" w:type="dxa"/>
          </w:tcPr>
          <w:p w:rsidR="002D3604" w:rsidRDefault="002D3604" w:rsidP="002D3604">
            <w:pPr>
              <w:pStyle w:val="a7"/>
              <w:spacing w:line="276" w:lineRule="auto"/>
              <w:jc w:val="both"/>
            </w:pPr>
            <w:r w:rsidRPr="002D3604">
              <w:t>Частота неизвестна</w:t>
            </w:r>
          </w:p>
        </w:tc>
      </w:tr>
    </w:tbl>
    <w:p w:rsidR="00392F10" w:rsidRDefault="0039081A" w:rsidP="003075B7">
      <w:pPr>
        <w:pStyle w:val="a7"/>
        <w:spacing w:line="360" w:lineRule="auto"/>
        <w:jc w:val="both"/>
        <w:rPr>
          <w:b/>
        </w:rPr>
      </w:pPr>
      <w:r w:rsidRPr="00621CB2">
        <w:rPr>
          <w:b/>
        </w:rPr>
        <w:t>П</w:t>
      </w:r>
      <w:r w:rsidR="009773CD" w:rsidRPr="00621CB2">
        <w:rPr>
          <w:b/>
        </w:rPr>
        <w:t>ередозировка</w:t>
      </w:r>
    </w:p>
    <w:p w:rsidR="002C789D" w:rsidRPr="008A3EFC" w:rsidRDefault="002C789D" w:rsidP="003075B7">
      <w:pPr>
        <w:pStyle w:val="a7"/>
        <w:spacing w:line="360" w:lineRule="auto"/>
        <w:jc w:val="both"/>
        <w:rPr>
          <w:i/>
        </w:rPr>
      </w:pPr>
      <w:r w:rsidRPr="008A3EFC">
        <w:rPr>
          <w:i/>
        </w:rPr>
        <w:t>Симптомы</w:t>
      </w:r>
    </w:p>
    <w:p w:rsidR="008010A3" w:rsidRPr="008010A3" w:rsidRDefault="008010A3" w:rsidP="008010A3">
      <w:pPr>
        <w:pStyle w:val="a7"/>
        <w:spacing w:line="360" w:lineRule="auto"/>
        <w:jc w:val="both"/>
        <w:rPr>
          <w:rFonts w:eastAsia="Calibri"/>
          <w:szCs w:val="28"/>
          <w:lang w:eastAsia="en-US"/>
        </w:rPr>
      </w:pPr>
      <w:proofErr w:type="spellStart"/>
      <w:r w:rsidRPr="008010A3">
        <w:rPr>
          <w:rFonts w:eastAsia="Calibri"/>
          <w:szCs w:val="28"/>
          <w:lang w:eastAsia="en-US"/>
        </w:rPr>
        <w:t>Индапамид</w:t>
      </w:r>
      <w:proofErr w:type="spellEnd"/>
      <w:r w:rsidRPr="008010A3">
        <w:rPr>
          <w:rFonts w:eastAsia="Calibri"/>
          <w:szCs w:val="28"/>
          <w:lang w:eastAsia="en-US"/>
        </w:rPr>
        <w:t xml:space="preserve"> даже в очень высоких дозах (до 40 мг, т.е. в 16 раз больше терапевтической дозы) не оказывает токсического действия.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lastRenderedPageBreak/>
        <w:t xml:space="preserve">Признаки острого отравления лекарственным препаратом в первую очередь связаны с нарушением водно-электролитного баланса (гипонатриемия, гипокалиемия). Из клинических симптомов передозировки могут отмечаться тошнота, рвота, артериальная гипотензия, судороги, вертиго, сонливость, спутанность сознания, полиурия или олигурия с возможным переходом в анурию (вследствие </w:t>
      </w:r>
      <w:proofErr w:type="spellStart"/>
      <w:r w:rsidRPr="008010A3">
        <w:rPr>
          <w:rFonts w:eastAsia="Calibri"/>
          <w:szCs w:val="28"/>
          <w:lang w:eastAsia="en-US"/>
        </w:rPr>
        <w:t>гиповолемии</w:t>
      </w:r>
      <w:proofErr w:type="spellEnd"/>
      <w:r w:rsidRPr="008010A3">
        <w:rPr>
          <w:rFonts w:eastAsia="Calibri"/>
          <w:szCs w:val="28"/>
          <w:lang w:eastAsia="en-US"/>
        </w:rPr>
        <w:t xml:space="preserve">). </w:t>
      </w:r>
    </w:p>
    <w:p w:rsidR="008010A3" w:rsidRPr="008A3EFC" w:rsidRDefault="008010A3" w:rsidP="008010A3">
      <w:pPr>
        <w:pStyle w:val="a7"/>
        <w:spacing w:line="360" w:lineRule="auto"/>
        <w:jc w:val="both"/>
        <w:rPr>
          <w:rFonts w:eastAsia="Calibri"/>
          <w:i/>
          <w:szCs w:val="28"/>
          <w:lang w:eastAsia="en-US"/>
        </w:rPr>
      </w:pPr>
      <w:r w:rsidRPr="008A3EFC">
        <w:rPr>
          <w:rFonts w:eastAsia="Calibri"/>
          <w:i/>
          <w:szCs w:val="28"/>
          <w:lang w:eastAsia="en-US"/>
        </w:rPr>
        <w:t xml:space="preserve">Лечение </w:t>
      </w:r>
    </w:p>
    <w:p w:rsidR="008010A3" w:rsidRDefault="008010A3" w:rsidP="008010A3">
      <w:pPr>
        <w:pStyle w:val="a7"/>
        <w:spacing w:line="360" w:lineRule="auto"/>
        <w:jc w:val="both"/>
        <w:rPr>
          <w:rFonts w:eastAsia="Calibri"/>
          <w:szCs w:val="28"/>
          <w:lang w:eastAsia="en-US"/>
        </w:rPr>
      </w:pPr>
      <w:r w:rsidRPr="008010A3">
        <w:rPr>
          <w:rFonts w:eastAsia="Calibri"/>
          <w:szCs w:val="28"/>
          <w:lang w:eastAsia="en-US"/>
        </w:rPr>
        <w:t>Меры неотложной помощи сводятся к быстрому выведению препарата из организма: про</w:t>
      </w:r>
      <w:r w:rsidR="00A73918">
        <w:rPr>
          <w:rFonts w:eastAsia="Calibri"/>
          <w:szCs w:val="28"/>
          <w:lang w:eastAsia="en-US"/>
        </w:rPr>
        <w:t>мывание желудка и/или назначение</w:t>
      </w:r>
      <w:r w:rsidRPr="008010A3">
        <w:rPr>
          <w:rFonts w:eastAsia="Calibri"/>
          <w:szCs w:val="28"/>
          <w:lang w:eastAsia="en-US"/>
        </w:rPr>
        <w:t xml:space="preserve"> активированного угля с последующим восстановлением водно-электролитного баланса в специализированном отделении. </w:t>
      </w:r>
    </w:p>
    <w:p w:rsidR="004C0738" w:rsidRPr="008010A3" w:rsidRDefault="009773CD" w:rsidP="008010A3">
      <w:pPr>
        <w:pStyle w:val="a7"/>
        <w:spacing w:line="360" w:lineRule="auto"/>
        <w:jc w:val="both"/>
        <w:rPr>
          <w:rFonts w:eastAsia="Calibri"/>
          <w:szCs w:val="28"/>
          <w:lang w:eastAsia="en-US"/>
        </w:rPr>
      </w:pPr>
      <w:r>
        <w:rPr>
          <w:b/>
        </w:rPr>
        <w:t>В</w:t>
      </w:r>
      <w:r w:rsidRPr="009C7545">
        <w:rPr>
          <w:b/>
        </w:rPr>
        <w:t>заимодействие с другими лекарственными средствами</w:t>
      </w:r>
    </w:p>
    <w:p w:rsidR="008010A3" w:rsidRPr="008A3EFC" w:rsidRDefault="008010A3" w:rsidP="008010A3">
      <w:pPr>
        <w:pStyle w:val="a7"/>
        <w:spacing w:line="360" w:lineRule="auto"/>
        <w:jc w:val="both"/>
        <w:rPr>
          <w:rFonts w:eastAsia="Calibri"/>
          <w:i/>
          <w:szCs w:val="28"/>
          <w:lang w:eastAsia="en-US"/>
        </w:rPr>
      </w:pPr>
      <w:r w:rsidRPr="008A3EFC">
        <w:rPr>
          <w:rFonts w:eastAsia="Calibri"/>
          <w:i/>
          <w:szCs w:val="28"/>
          <w:lang w:eastAsia="en-US"/>
        </w:rPr>
        <w:t xml:space="preserve">Комбинации, не рекомендуемые к применению </w:t>
      </w:r>
    </w:p>
    <w:p w:rsidR="008010A3" w:rsidRPr="008010A3" w:rsidRDefault="008010A3" w:rsidP="008010A3">
      <w:pPr>
        <w:pStyle w:val="a7"/>
        <w:spacing w:line="360" w:lineRule="auto"/>
        <w:jc w:val="both"/>
        <w:rPr>
          <w:rFonts w:eastAsia="Calibri"/>
          <w:szCs w:val="28"/>
          <w:lang w:eastAsia="en-US"/>
        </w:rPr>
      </w:pPr>
      <w:r w:rsidRPr="00C80FBE">
        <w:rPr>
          <w:rFonts w:eastAsia="Calibri"/>
          <w:i/>
          <w:szCs w:val="28"/>
          <w:lang w:eastAsia="en-US"/>
        </w:rPr>
        <w:t>- Препараты лития</w:t>
      </w:r>
      <w:r w:rsidRPr="008010A3">
        <w:rPr>
          <w:rFonts w:eastAsia="Calibr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При одновременном применении </w:t>
      </w:r>
      <w:proofErr w:type="spellStart"/>
      <w:r w:rsidRPr="008010A3">
        <w:rPr>
          <w:rFonts w:eastAsia="Calibri"/>
          <w:szCs w:val="28"/>
          <w:lang w:eastAsia="en-US"/>
        </w:rPr>
        <w:t>индап</w:t>
      </w:r>
      <w:r w:rsidR="00A30737">
        <w:rPr>
          <w:rFonts w:eastAsia="Calibri"/>
          <w:szCs w:val="28"/>
          <w:lang w:eastAsia="en-US"/>
        </w:rPr>
        <w:t>амида</w:t>
      </w:r>
      <w:proofErr w:type="spellEnd"/>
      <w:r w:rsidR="00A30737">
        <w:rPr>
          <w:rFonts w:eastAsia="Calibri"/>
          <w:szCs w:val="28"/>
          <w:lang w:eastAsia="en-US"/>
        </w:rPr>
        <w:t xml:space="preserve"> и препаратов лития, также</w:t>
      </w:r>
      <w:r w:rsidRPr="008010A3">
        <w:rPr>
          <w:rFonts w:eastAsia="Calibri"/>
          <w:szCs w:val="28"/>
          <w:lang w:eastAsia="en-US"/>
        </w:rPr>
        <w:t xml:space="preserve"> как и при соблюдении бессолевой диеты, может наблюдаться повышение концентрации лития в </w:t>
      </w:r>
      <w:r w:rsidR="00C80FBE">
        <w:rPr>
          <w:rFonts w:eastAsia="Calibri"/>
          <w:szCs w:val="28"/>
          <w:lang w:eastAsia="en-US"/>
        </w:rPr>
        <w:t>п</w:t>
      </w:r>
      <w:r w:rsidRPr="008010A3">
        <w:rPr>
          <w:rFonts w:eastAsia="Calibri"/>
          <w:szCs w:val="28"/>
          <w:lang w:eastAsia="en-US"/>
        </w:rPr>
        <w:t xml:space="preserve">лазме крови вследствие снижения его экскреции, сопровождающееся появлением признаков передозировки. При необходимости диуретические препараты могут быть использованы в сочетании с препаратами лития, при этом следует тщательно контролировать концентрацию лития в плазме крови и соответствующим образом подбирать дозу препарата. </w:t>
      </w:r>
    </w:p>
    <w:p w:rsidR="008010A3" w:rsidRPr="008A3EFC" w:rsidRDefault="008010A3" w:rsidP="008010A3">
      <w:pPr>
        <w:pStyle w:val="a7"/>
        <w:spacing w:line="360" w:lineRule="auto"/>
        <w:jc w:val="both"/>
        <w:rPr>
          <w:rFonts w:eastAsia="Calibri"/>
          <w:i/>
          <w:szCs w:val="28"/>
          <w:lang w:eastAsia="en-US"/>
        </w:rPr>
      </w:pPr>
      <w:r w:rsidRPr="008A3EFC">
        <w:rPr>
          <w:rFonts w:eastAsia="Calibri"/>
          <w:i/>
          <w:szCs w:val="28"/>
          <w:lang w:eastAsia="en-US"/>
        </w:rPr>
        <w:t xml:space="preserve">Комбинации, требующие предосторожности </w:t>
      </w:r>
    </w:p>
    <w:p w:rsidR="008010A3" w:rsidRPr="00A87917" w:rsidRDefault="008010A3" w:rsidP="008010A3">
      <w:pPr>
        <w:pStyle w:val="a7"/>
        <w:spacing w:line="360" w:lineRule="auto"/>
        <w:jc w:val="both"/>
        <w:rPr>
          <w:rFonts w:eastAsia="Calibri"/>
          <w:b/>
          <w:szCs w:val="28"/>
          <w:lang w:eastAsia="en-US"/>
        </w:rPr>
      </w:pPr>
      <w:r w:rsidRPr="00A87917">
        <w:rPr>
          <w:rFonts w:eastAsia="Calibri"/>
          <w:b/>
          <w:szCs w:val="28"/>
          <w:lang w:eastAsia="en-US"/>
        </w:rPr>
        <w:t xml:space="preserve">- </w:t>
      </w:r>
      <w:r w:rsidRPr="00D13D31">
        <w:rPr>
          <w:rFonts w:eastAsia="Calibri"/>
          <w:i/>
          <w:szCs w:val="28"/>
          <w:lang w:eastAsia="en-US"/>
        </w:rPr>
        <w:t xml:space="preserve">Препараты, способные вызывать полиморфную желудочковую тахикардию типа </w:t>
      </w:r>
      <w:r w:rsidR="008A3EFC">
        <w:rPr>
          <w:rFonts w:eastAsia="Calibri"/>
          <w:i/>
          <w:szCs w:val="28"/>
          <w:lang w:eastAsia="en-US"/>
        </w:rPr>
        <w:t>«</w:t>
      </w:r>
      <w:r w:rsidRPr="00D13D31">
        <w:rPr>
          <w:rFonts w:eastAsia="Calibri"/>
          <w:i/>
          <w:szCs w:val="28"/>
          <w:lang w:eastAsia="en-US"/>
        </w:rPr>
        <w:t>пируэт</w:t>
      </w:r>
      <w:r w:rsidR="008A3EFC">
        <w:rPr>
          <w:rFonts w:eastAsia="Calibri"/>
          <w:i/>
          <w:szCs w:val="28"/>
          <w:lang w:eastAsia="en-US"/>
        </w:rPr>
        <w:t>»</w:t>
      </w:r>
      <w:r w:rsidRPr="00D13D31">
        <w:rPr>
          <w:rFonts w:eastAsia="Calibri"/>
          <w:i/>
          <w:szCs w:val="28"/>
          <w:lang w:eastAsia="en-US"/>
        </w:rPr>
        <w:t>:</w:t>
      </w:r>
      <w:r w:rsidRPr="00A87917">
        <w:rPr>
          <w:rFonts w:eastAsia="Calibri"/>
          <w:b/>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антиаритмические лекарственные препараты IA класса (</w:t>
      </w:r>
      <w:proofErr w:type="spellStart"/>
      <w:r w:rsidRPr="008010A3">
        <w:rPr>
          <w:rFonts w:eastAsia="Calibri"/>
          <w:szCs w:val="28"/>
          <w:lang w:eastAsia="en-US"/>
        </w:rPr>
        <w:t>хинидин</w:t>
      </w:r>
      <w:proofErr w:type="spellEnd"/>
      <w:r w:rsidRPr="008010A3">
        <w:rPr>
          <w:rFonts w:eastAsia="Calibri"/>
          <w:szCs w:val="28"/>
          <w:lang w:eastAsia="en-US"/>
        </w:rPr>
        <w:t xml:space="preserve">, </w:t>
      </w:r>
      <w:proofErr w:type="spellStart"/>
      <w:r w:rsidRPr="008010A3">
        <w:rPr>
          <w:rFonts w:eastAsia="Calibri"/>
          <w:szCs w:val="28"/>
          <w:lang w:eastAsia="en-US"/>
        </w:rPr>
        <w:t>гидрохинидин</w:t>
      </w:r>
      <w:proofErr w:type="spellEnd"/>
      <w:r w:rsidRPr="008010A3">
        <w:rPr>
          <w:rFonts w:eastAsia="Calibri"/>
          <w:szCs w:val="28"/>
          <w:lang w:eastAsia="en-US"/>
        </w:rPr>
        <w:t xml:space="preserve">, </w:t>
      </w:r>
      <w:proofErr w:type="spellStart"/>
      <w:r w:rsidRPr="008010A3">
        <w:rPr>
          <w:rFonts w:eastAsia="Calibri"/>
          <w:szCs w:val="28"/>
          <w:lang w:eastAsia="en-US"/>
        </w:rPr>
        <w:t>дизопирамид</w:t>
      </w:r>
      <w:proofErr w:type="spellEnd"/>
      <w:r w:rsidRPr="008010A3">
        <w:rPr>
          <w:rFonts w:eastAsia="Calibri"/>
          <w:szCs w:val="28"/>
          <w:lang w:eastAsia="en-US"/>
        </w:rPr>
        <w:t xml:space="preserve">, </w:t>
      </w:r>
      <w:proofErr w:type="spellStart"/>
      <w:r w:rsidR="00C80FBE">
        <w:rPr>
          <w:rFonts w:eastAsia="Calibri"/>
          <w:szCs w:val="28"/>
          <w:lang w:eastAsia="en-US"/>
        </w:rPr>
        <w:t>прокаинамид</w:t>
      </w:r>
      <w:proofErr w:type="spellEnd"/>
      <w:r w:rsidR="00C80FBE">
        <w:rPr>
          <w:rFonts w:eastAsia="Calibri"/>
          <w:szCs w:val="28"/>
          <w:lang w:eastAsia="en-US"/>
        </w:rPr>
        <w:t>) и IC класса (</w:t>
      </w:r>
      <w:proofErr w:type="spellStart"/>
      <w:r w:rsidR="00C80FBE">
        <w:rPr>
          <w:rFonts w:eastAsia="Calibri"/>
          <w:szCs w:val="28"/>
          <w:lang w:eastAsia="en-US"/>
        </w:rPr>
        <w:t>флека</w:t>
      </w:r>
      <w:r w:rsidR="000B7041">
        <w:rPr>
          <w:rFonts w:eastAsia="Calibri"/>
          <w:szCs w:val="28"/>
          <w:lang w:eastAsia="en-US"/>
        </w:rPr>
        <w:t>и</w:t>
      </w:r>
      <w:r w:rsidRPr="008010A3">
        <w:rPr>
          <w:rFonts w:eastAsia="Calibri"/>
          <w:szCs w:val="28"/>
          <w:lang w:eastAsia="en-US"/>
        </w:rPr>
        <w:t>нид</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антиаритмические лекарственные препараты ІІІ класса (</w:t>
      </w:r>
      <w:proofErr w:type="spellStart"/>
      <w:r w:rsidRPr="008010A3">
        <w:rPr>
          <w:rFonts w:eastAsia="Calibri"/>
          <w:szCs w:val="28"/>
          <w:lang w:eastAsia="en-US"/>
        </w:rPr>
        <w:t>амиодарон</w:t>
      </w:r>
      <w:proofErr w:type="spellEnd"/>
      <w:r w:rsidRPr="008010A3">
        <w:rPr>
          <w:rFonts w:eastAsia="Calibri"/>
          <w:szCs w:val="28"/>
          <w:lang w:eastAsia="en-US"/>
        </w:rPr>
        <w:t xml:space="preserve">, </w:t>
      </w:r>
      <w:proofErr w:type="spellStart"/>
      <w:r w:rsidRPr="008010A3">
        <w:rPr>
          <w:rFonts w:eastAsia="Calibri"/>
          <w:szCs w:val="28"/>
          <w:lang w:eastAsia="en-US"/>
        </w:rPr>
        <w:t>с</w:t>
      </w:r>
      <w:proofErr w:type="gramStart"/>
      <w:r w:rsidRPr="008010A3">
        <w:rPr>
          <w:rFonts w:eastAsia="Calibri"/>
          <w:szCs w:val="28"/>
          <w:lang w:eastAsia="en-US"/>
        </w:rPr>
        <w:t>o</w:t>
      </w:r>
      <w:proofErr w:type="gramEnd"/>
      <w:r w:rsidRPr="008010A3">
        <w:rPr>
          <w:rFonts w:eastAsia="Calibri"/>
          <w:szCs w:val="28"/>
          <w:lang w:eastAsia="en-US"/>
        </w:rPr>
        <w:t>тaлол</w:t>
      </w:r>
      <w:proofErr w:type="spellEnd"/>
      <w:r w:rsidRPr="008010A3">
        <w:rPr>
          <w:rFonts w:eastAsia="Calibri"/>
          <w:szCs w:val="28"/>
          <w:lang w:eastAsia="en-US"/>
        </w:rPr>
        <w:t xml:space="preserve">, </w:t>
      </w:r>
      <w:proofErr w:type="spellStart"/>
      <w:r w:rsidRPr="008010A3">
        <w:rPr>
          <w:rFonts w:eastAsia="Calibri"/>
          <w:szCs w:val="28"/>
          <w:lang w:eastAsia="en-US"/>
        </w:rPr>
        <w:t>дофетилид</w:t>
      </w:r>
      <w:proofErr w:type="spellEnd"/>
      <w:r w:rsidRPr="008010A3">
        <w:rPr>
          <w:rFonts w:eastAsia="Calibri"/>
          <w:szCs w:val="28"/>
          <w:lang w:eastAsia="en-US"/>
        </w:rPr>
        <w:t xml:space="preserve">, </w:t>
      </w:r>
      <w:proofErr w:type="spellStart"/>
      <w:r w:rsidRPr="008010A3">
        <w:rPr>
          <w:rFonts w:eastAsia="Calibri"/>
          <w:szCs w:val="28"/>
          <w:lang w:eastAsia="en-US"/>
        </w:rPr>
        <w:t>ибутилид</w:t>
      </w:r>
      <w:proofErr w:type="spellEnd"/>
      <w:r w:rsidRPr="008010A3">
        <w:rPr>
          <w:rFonts w:eastAsia="Calibri"/>
          <w:szCs w:val="28"/>
          <w:lang w:eastAsia="en-US"/>
        </w:rPr>
        <w:t xml:space="preserve">, </w:t>
      </w:r>
      <w:proofErr w:type="spellStart"/>
      <w:r w:rsidRPr="008010A3">
        <w:rPr>
          <w:rFonts w:eastAsia="Calibri"/>
          <w:szCs w:val="28"/>
          <w:lang w:eastAsia="en-US"/>
        </w:rPr>
        <w:t>бретилия</w:t>
      </w:r>
      <w:proofErr w:type="spellEnd"/>
      <w:r w:rsidRPr="008010A3">
        <w:rPr>
          <w:rFonts w:eastAsia="Calibri"/>
          <w:szCs w:val="28"/>
          <w:lang w:eastAsia="en-US"/>
        </w:rPr>
        <w:t xml:space="preserve"> </w:t>
      </w:r>
      <w:proofErr w:type="spellStart"/>
      <w:r w:rsidRPr="008010A3">
        <w:rPr>
          <w:rFonts w:eastAsia="Calibri"/>
          <w:szCs w:val="28"/>
          <w:lang w:eastAsia="en-US"/>
        </w:rPr>
        <w:t>тозилат</w:t>
      </w:r>
      <w:proofErr w:type="spellEnd"/>
      <w:r w:rsidRPr="008010A3">
        <w:rPr>
          <w:rFonts w:eastAsia="Calibri"/>
          <w:szCs w:val="28"/>
          <w:lang w:eastAsia="en-US"/>
        </w:rPr>
        <w:t xml:space="preserve">, </w:t>
      </w:r>
      <w:proofErr w:type="spellStart"/>
      <w:r w:rsidRPr="008010A3">
        <w:rPr>
          <w:rFonts w:eastAsia="Calibri"/>
          <w:szCs w:val="28"/>
          <w:lang w:eastAsia="en-US"/>
        </w:rPr>
        <w:t>дронедарон</w:t>
      </w:r>
      <w:proofErr w:type="spellEnd"/>
      <w:r w:rsidRPr="008010A3">
        <w:rPr>
          <w:rFonts w:eastAsia="Calibri"/>
          <w:szCs w:val="28"/>
          <w:lang w:eastAsia="en-US"/>
        </w:rPr>
        <w:t xml:space="preserve">); </w:t>
      </w:r>
    </w:p>
    <w:p w:rsidR="00C80FBE"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нейролептики: </w:t>
      </w:r>
      <w:proofErr w:type="spellStart"/>
      <w:r w:rsidRPr="008010A3">
        <w:rPr>
          <w:rFonts w:eastAsia="Calibri"/>
          <w:szCs w:val="28"/>
          <w:lang w:eastAsia="en-US"/>
        </w:rPr>
        <w:t>фенотиазины</w:t>
      </w:r>
      <w:proofErr w:type="spellEnd"/>
      <w:r w:rsidRPr="008010A3">
        <w:rPr>
          <w:rFonts w:eastAsia="Calibri"/>
          <w:szCs w:val="28"/>
          <w:lang w:eastAsia="en-US"/>
        </w:rPr>
        <w:t xml:space="preserve"> (</w:t>
      </w:r>
      <w:proofErr w:type="spellStart"/>
      <w:r w:rsidRPr="008010A3">
        <w:rPr>
          <w:rFonts w:eastAsia="Calibri"/>
          <w:szCs w:val="28"/>
          <w:lang w:eastAsia="en-US"/>
        </w:rPr>
        <w:t>хлорпромазин</w:t>
      </w:r>
      <w:proofErr w:type="spellEnd"/>
      <w:r w:rsidRPr="008010A3">
        <w:rPr>
          <w:rFonts w:eastAsia="Calibri"/>
          <w:szCs w:val="28"/>
          <w:lang w:eastAsia="en-US"/>
        </w:rPr>
        <w:t xml:space="preserve">, </w:t>
      </w:r>
      <w:proofErr w:type="spellStart"/>
      <w:r w:rsidRPr="008010A3">
        <w:rPr>
          <w:rFonts w:eastAsia="Calibri"/>
          <w:szCs w:val="28"/>
          <w:lang w:eastAsia="en-US"/>
        </w:rPr>
        <w:t>ци</w:t>
      </w:r>
      <w:proofErr w:type="gramStart"/>
      <w:r w:rsidRPr="008010A3">
        <w:rPr>
          <w:rFonts w:eastAsia="Calibri"/>
          <w:szCs w:val="28"/>
          <w:lang w:eastAsia="en-US"/>
        </w:rPr>
        <w:t>a</w:t>
      </w:r>
      <w:proofErr w:type="gramEnd"/>
      <w:r w:rsidRPr="008010A3">
        <w:rPr>
          <w:rFonts w:eastAsia="Calibri"/>
          <w:szCs w:val="28"/>
          <w:lang w:eastAsia="en-US"/>
        </w:rPr>
        <w:t>мeмaзин</w:t>
      </w:r>
      <w:proofErr w:type="spellEnd"/>
      <w:r w:rsidRPr="008010A3">
        <w:rPr>
          <w:rFonts w:eastAsia="Calibri"/>
          <w:szCs w:val="28"/>
          <w:lang w:eastAsia="en-US"/>
        </w:rPr>
        <w:t xml:space="preserve">, </w:t>
      </w:r>
      <w:proofErr w:type="spellStart"/>
      <w:r w:rsidRPr="008010A3">
        <w:rPr>
          <w:rFonts w:eastAsia="Calibri"/>
          <w:szCs w:val="28"/>
          <w:lang w:eastAsia="en-US"/>
        </w:rPr>
        <w:t>левомепромазин</w:t>
      </w:r>
      <w:proofErr w:type="spellEnd"/>
      <w:r w:rsidRPr="008010A3">
        <w:rPr>
          <w:rFonts w:eastAsia="Calibri"/>
          <w:szCs w:val="28"/>
          <w:lang w:eastAsia="en-US"/>
        </w:rPr>
        <w:t xml:space="preserve">, </w:t>
      </w:r>
      <w:proofErr w:type="spellStart"/>
      <w:r w:rsidRPr="008010A3">
        <w:rPr>
          <w:rFonts w:eastAsia="Calibri"/>
          <w:szCs w:val="28"/>
          <w:lang w:eastAsia="en-US"/>
        </w:rPr>
        <w:t>тиоридаз</w:t>
      </w:r>
      <w:r w:rsidR="00A30737">
        <w:rPr>
          <w:rFonts w:eastAsia="Calibri"/>
          <w:szCs w:val="28"/>
          <w:lang w:eastAsia="en-US"/>
        </w:rPr>
        <w:t>ин</w:t>
      </w:r>
      <w:proofErr w:type="spellEnd"/>
      <w:r w:rsidR="00A30737">
        <w:rPr>
          <w:rFonts w:eastAsia="Calibri"/>
          <w:szCs w:val="28"/>
          <w:lang w:eastAsia="en-US"/>
        </w:rPr>
        <w:t xml:space="preserve">, </w:t>
      </w:r>
      <w:proofErr w:type="spellStart"/>
      <w:r w:rsidR="00A30737">
        <w:rPr>
          <w:rFonts w:eastAsia="Calibri"/>
          <w:szCs w:val="28"/>
          <w:lang w:eastAsia="en-US"/>
        </w:rPr>
        <w:t>трифлуоперазин</w:t>
      </w:r>
      <w:proofErr w:type="spellEnd"/>
      <w:r w:rsidR="00A30737">
        <w:rPr>
          <w:rFonts w:eastAsia="Calibri"/>
          <w:szCs w:val="28"/>
          <w:lang w:eastAsia="en-US"/>
        </w:rPr>
        <w:t xml:space="preserve">, </w:t>
      </w:r>
      <w:proofErr w:type="spellStart"/>
      <w:r w:rsidR="00A30737">
        <w:rPr>
          <w:rFonts w:eastAsia="Calibri"/>
          <w:szCs w:val="28"/>
          <w:lang w:eastAsia="en-US"/>
        </w:rPr>
        <w:t>флуфеназин</w:t>
      </w:r>
      <w:proofErr w:type="spellEnd"/>
      <w:r w:rsidR="00A30737">
        <w:rPr>
          <w:rFonts w:eastAsia="Calibri"/>
          <w:szCs w:val="28"/>
          <w:lang w:eastAsia="en-US"/>
        </w:rPr>
        <w:t>);</w:t>
      </w:r>
      <w:r w:rsidRPr="008010A3">
        <w:rPr>
          <w:rFonts w:eastAsia="Calibri"/>
          <w:szCs w:val="28"/>
          <w:lang w:eastAsia="en-US"/>
        </w:rPr>
        <w:t xml:space="preserve"> </w:t>
      </w:r>
      <w:proofErr w:type="spellStart"/>
      <w:r w:rsidRPr="008010A3">
        <w:rPr>
          <w:rFonts w:eastAsia="Calibri"/>
          <w:szCs w:val="28"/>
          <w:lang w:eastAsia="en-US"/>
        </w:rPr>
        <w:t>бензамиды</w:t>
      </w:r>
      <w:proofErr w:type="spellEnd"/>
      <w:r w:rsidRPr="008010A3">
        <w:rPr>
          <w:rFonts w:eastAsia="Calibri"/>
          <w:szCs w:val="28"/>
          <w:lang w:eastAsia="en-US"/>
        </w:rPr>
        <w:t xml:space="preserve"> </w:t>
      </w:r>
      <w:r w:rsidRPr="008010A3">
        <w:rPr>
          <w:rFonts w:eastAsia="Calibri"/>
          <w:szCs w:val="28"/>
          <w:lang w:eastAsia="en-US"/>
        </w:rPr>
        <w:lastRenderedPageBreak/>
        <w:t>(</w:t>
      </w:r>
      <w:proofErr w:type="spellStart"/>
      <w:r w:rsidRPr="008010A3">
        <w:rPr>
          <w:rFonts w:eastAsia="Calibri"/>
          <w:szCs w:val="28"/>
          <w:lang w:eastAsia="en-US"/>
        </w:rPr>
        <w:t>амисульприд</w:t>
      </w:r>
      <w:proofErr w:type="spellEnd"/>
      <w:r w:rsidRPr="008010A3">
        <w:rPr>
          <w:rFonts w:eastAsia="Calibri"/>
          <w:szCs w:val="28"/>
          <w:lang w:eastAsia="en-US"/>
        </w:rPr>
        <w:t xml:space="preserve">, </w:t>
      </w:r>
      <w:proofErr w:type="spellStart"/>
      <w:r w:rsidR="00A73918">
        <w:rPr>
          <w:rFonts w:eastAsia="Calibri"/>
          <w:szCs w:val="28"/>
          <w:lang w:eastAsia="en-US"/>
        </w:rPr>
        <w:t>сультoпpид</w:t>
      </w:r>
      <w:proofErr w:type="spellEnd"/>
      <w:r w:rsidR="00A73918">
        <w:rPr>
          <w:rFonts w:eastAsia="Calibri"/>
          <w:szCs w:val="28"/>
          <w:lang w:eastAsia="en-US"/>
        </w:rPr>
        <w:t xml:space="preserve">, </w:t>
      </w:r>
      <w:proofErr w:type="spellStart"/>
      <w:r w:rsidR="00A73918">
        <w:rPr>
          <w:rFonts w:eastAsia="Calibri"/>
          <w:szCs w:val="28"/>
          <w:lang w:eastAsia="en-US"/>
        </w:rPr>
        <w:t>сульпирид</w:t>
      </w:r>
      <w:proofErr w:type="spellEnd"/>
      <w:r w:rsidR="00A73918">
        <w:rPr>
          <w:rFonts w:eastAsia="Calibri"/>
          <w:szCs w:val="28"/>
          <w:lang w:eastAsia="en-US"/>
        </w:rPr>
        <w:t xml:space="preserve">, </w:t>
      </w:r>
      <w:proofErr w:type="spellStart"/>
      <w:r w:rsidR="00A73918">
        <w:rPr>
          <w:rFonts w:eastAsia="Calibri"/>
          <w:szCs w:val="28"/>
          <w:lang w:eastAsia="en-US"/>
        </w:rPr>
        <w:t>тиаприд</w:t>
      </w:r>
      <w:proofErr w:type="spellEnd"/>
      <w:r w:rsidR="00A73918">
        <w:rPr>
          <w:rFonts w:eastAsia="Calibri"/>
          <w:szCs w:val="28"/>
          <w:lang w:eastAsia="en-US"/>
        </w:rPr>
        <w:t xml:space="preserve">); </w:t>
      </w:r>
      <w:proofErr w:type="spellStart"/>
      <w:r w:rsidRPr="008010A3">
        <w:rPr>
          <w:rFonts w:eastAsia="Calibri"/>
          <w:szCs w:val="28"/>
          <w:lang w:eastAsia="en-US"/>
        </w:rPr>
        <w:t>бутирофеноны</w:t>
      </w:r>
      <w:proofErr w:type="spellEnd"/>
      <w:r w:rsidRPr="008010A3">
        <w:rPr>
          <w:rFonts w:eastAsia="Calibri"/>
          <w:szCs w:val="28"/>
          <w:lang w:eastAsia="en-US"/>
        </w:rPr>
        <w:t xml:space="preserve"> (</w:t>
      </w:r>
      <w:proofErr w:type="spellStart"/>
      <w:r w:rsidRPr="008010A3">
        <w:rPr>
          <w:rFonts w:eastAsia="Calibri"/>
          <w:szCs w:val="28"/>
          <w:lang w:eastAsia="en-US"/>
        </w:rPr>
        <w:t>дроперидол</w:t>
      </w:r>
      <w:proofErr w:type="spellEnd"/>
      <w:r w:rsidRPr="008010A3">
        <w:rPr>
          <w:rFonts w:eastAsia="Calibri"/>
          <w:szCs w:val="28"/>
          <w:lang w:eastAsia="en-US"/>
        </w:rPr>
        <w:t xml:space="preserve">, </w:t>
      </w:r>
      <w:proofErr w:type="spellStart"/>
      <w:r w:rsidRPr="008010A3">
        <w:rPr>
          <w:rFonts w:eastAsia="Calibri"/>
          <w:szCs w:val="28"/>
          <w:lang w:eastAsia="en-US"/>
        </w:rPr>
        <w:t>галоперидол</w:t>
      </w:r>
      <w:proofErr w:type="spellEnd"/>
      <w:r w:rsidRPr="008010A3">
        <w:rPr>
          <w:rFonts w:eastAsia="Calibri"/>
          <w:szCs w:val="28"/>
          <w:lang w:eastAsia="en-US"/>
        </w:rPr>
        <w:t xml:space="preserve">); </w:t>
      </w:r>
      <w:proofErr w:type="spellStart"/>
      <w:r w:rsidRPr="008010A3">
        <w:rPr>
          <w:rFonts w:eastAsia="Calibri"/>
          <w:szCs w:val="28"/>
          <w:lang w:eastAsia="en-US"/>
        </w:rPr>
        <w:t>пимозид</w:t>
      </w:r>
      <w:proofErr w:type="spellEnd"/>
      <w:r w:rsidRPr="008010A3">
        <w:rPr>
          <w:rFonts w:eastAsia="Calibri"/>
          <w:szCs w:val="28"/>
          <w:lang w:eastAsia="en-US"/>
        </w:rPr>
        <w:t xml:space="preserve">, </w:t>
      </w:r>
      <w:proofErr w:type="spellStart"/>
      <w:r w:rsidRPr="008010A3">
        <w:rPr>
          <w:rFonts w:eastAsia="Calibri"/>
          <w:szCs w:val="28"/>
          <w:lang w:eastAsia="en-US"/>
        </w:rPr>
        <w:t>сертиндол</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антидепрессанты: трициклические антидепрессанты, селективные ингибиторы обратного захвата серотонина (циталопрам, эсциталопрам);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антибактериальные средства: </w:t>
      </w:r>
      <w:proofErr w:type="spellStart"/>
      <w:r w:rsidRPr="008010A3">
        <w:rPr>
          <w:rFonts w:eastAsia="Calibri"/>
          <w:szCs w:val="28"/>
          <w:lang w:eastAsia="en-US"/>
        </w:rPr>
        <w:t>фторхинолоны</w:t>
      </w:r>
      <w:proofErr w:type="spellEnd"/>
      <w:r w:rsidRPr="008010A3">
        <w:rPr>
          <w:rFonts w:eastAsia="Calibri"/>
          <w:szCs w:val="28"/>
          <w:lang w:eastAsia="en-US"/>
        </w:rPr>
        <w:t xml:space="preserve"> (</w:t>
      </w:r>
      <w:proofErr w:type="spellStart"/>
      <w:r w:rsidRPr="008010A3">
        <w:rPr>
          <w:rFonts w:eastAsia="Calibri"/>
          <w:szCs w:val="28"/>
          <w:lang w:eastAsia="en-US"/>
        </w:rPr>
        <w:t>левофлоксацин</w:t>
      </w:r>
      <w:proofErr w:type="spellEnd"/>
      <w:r w:rsidRPr="008010A3">
        <w:rPr>
          <w:rFonts w:eastAsia="Calibri"/>
          <w:szCs w:val="28"/>
          <w:lang w:eastAsia="en-US"/>
        </w:rPr>
        <w:t xml:space="preserve">, </w:t>
      </w:r>
      <w:proofErr w:type="spellStart"/>
      <w:r w:rsidRPr="008010A3">
        <w:rPr>
          <w:rFonts w:eastAsia="Calibri"/>
          <w:szCs w:val="28"/>
          <w:lang w:eastAsia="en-US"/>
        </w:rPr>
        <w:t>моксифлоксацин</w:t>
      </w:r>
      <w:proofErr w:type="spellEnd"/>
      <w:r w:rsidRPr="008010A3">
        <w:rPr>
          <w:rFonts w:eastAsia="Calibri"/>
          <w:szCs w:val="28"/>
          <w:lang w:eastAsia="en-US"/>
        </w:rPr>
        <w:t xml:space="preserve">, </w:t>
      </w:r>
      <w:proofErr w:type="spellStart"/>
      <w:r w:rsidRPr="008010A3">
        <w:rPr>
          <w:rFonts w:eastAsia="Calibri"/>
          <w:szCs w:val="28"/>
          <w:lang w:eastAsia="en-US"/>
        </w:rPr>
        <w:t>спарфлоксацин</w:t>
      </w:r>
      <w:proofErr w:type="spellEnd"/>
      <w:r w:rsidRPr="008010A3">
        <w:rPr>
          <w:rFonts w:eastAsia="Calibri"/>
          <w:szCs w:val="28"/>
          <w:lang w:eastAsia="en-US"/>
        </w:rPr>
        <w:t xml:space="preserve">, </w:t>
      </w:r>
      <w:proofErr w:type="spellStart"/>
      <w:r w:rsidRPr="008010A3">
        <w:rPr>
          <w:rFonts w:eastAsia="Calibri"/>
          <w:szCs w:val="28"/>
          <w:lang w:eastAsia="en-US"/>
        </w:rPr>
        <w:t>ципрофлоксацин</w:t>
      </w:r>
      <w:proofErr w:type="spellEnd"/>
      <w:r w:rsidRPr="008010A3">
        <w:rPr>
          <w:rFonts w:eastAsia="Calibri"/>
          <w:szCs w:val="28"/>
          <w:lang w:eastAsia="en-US"/>
        </w:rPr>
        <w:t xml:space="preserve">); </w:t>
      </w:r>
      <w:proofErr w:type="spellStart"/>
      <w:r w:rsidRPr="008010A3">
        <w:rPr>
          <w:rFonts w:eastAsia="Calibri"/>
          <w:szCs w:val="28"/>
          <w:lang w:eastAsia="en-US"/>
        </w:rPr>
        <w:t>макролиды</w:t>
      </w:r>
      <w:proofErr w:type="spellEnd"/>
      <w:r w:rsidRPr="008010A3">
        <w:rPr>
          <w:rFonts w:eastAsia="Calibri"/>
          <w:szCs w:val="28"/>
          <w:lang w:eastAsia="en-US"/>
        </w:rPr>
        <w:t xml:space="preserve"> (эритромицин при внутривенном </w:t>
      </w:r>
      <w:r w:rsidR="00C80FBE">
        <w:rPr>
          <w:rFonts w:eastAsia="Calibri"/>
          <w:szCs w:val="28"/>
          <w:lang w:eastAsia="en-US"/>
        </w:rPr>
        <w:t>в</w:t>
      </w:r>
      <w:r w:rsidRPr="008010A3">
        <w:rPr>
          <w:rFonts w:eastAsia="Calibri"/>
          <w:szCs w:val="28"/>
          <w:lang w:eastAsia="en-US"/>
        </w:rPr>
        <w:t xml:space="preserve">ведении, </w:t>
      </w:r>
      <w:proofErr w:type="spellStart"/>
      <w:r w:rsidRPr="008010A3">
        <w:rPr>
          <w:rFonts w:eastAsia="Calibri"/>
          <w:szCs w:val="28"/>
          <w:lang w:eastAsia="en-US"/>
        </w:rPr>
        <w:t>азитромицин</w:t>
      </w:r>
      <w:proofErr w:type="spellEnd"/>
      <w:r w:rsidRPr="008010A3">
        <w:rPr>
          <w:rFonts w:eastAsia="Calibri"/>
          <w:szCs w:val="28"/>
          <w:lang w:eastAsia="en-US"/>
        </w:rPr>
        <w:t xml:space="preserve">, </w:t>
      </w:r>
      <w:proofErr w:type="spellStart"/>
      <w:r w:rsidRPr="008010A3">
        <w:rPr>
          <w:rFonts w:eastAsia="Calibri"/>
          <w:szCs w:val="28"/>
          <w:lang w:eastAsia="en-US"/>
        </w:rPr>
        <w:t>кларитромицин</w:t>
      </w:r>
      <w:proofErr w:type="spellEnd"/>
      <w:r w:rsidRPr="008010A3">
        <w:rPr>
          <w:rFonts w:eastAsia="Calibri"/>
          <w:szCs w:val="28"/>
          <w:lang w:eastAsia="en-US"/>
        </w:rPr>
        <w:t xml:space="preserve">, </w:t>
      </w:r>
      <w:proofErr w:type="spellStart"/>
      <w:r w:rsidRPr="008010A3">
        <w:rPr>
          <w:rFonts w:eastAsia="Calibri"/>
          <w:szCs w:val="28"/>
          <w:lang w:eastAsia="en-US"/>
        </w:rPr>
        <w:t>рокситромицин</w:t>
      </w:r>
      <w:proofErr w:type="spellEnd"/>
      <w:r w:rsidRPr="008010A3">
        <w:rPr>
          <w:rFonts w:eastAsia="Calibri"/>
          <w:szCs w:val="28"/>
          <w:lang w:eastAsia="en-US"/>
        </w:rPr>
        <w:t xml:space="preserve">, </w:t>
      </w:r>
      <w:proofErr w:type="spellStart"/>
      <w:r w:rsidRPr="008010A3">
        <w:rPr>
          <w:rFonts w:eastAsia="Calibri"/>
          <w:szCs w:val="28"/>
          <w:lang w:eastAsia="en-US"/>
        </w:rPr>
        <w:t>спирамици</w:t>
      </w:r>
      <w:r w:rsidR="00A30737">
        <w:rPr>
          <w:rFonts w:eastAsia="Calibri"/>
          <w:szCs w:val="28"/>
          <w:lang w:eastAsia="en-US"/>
        </w:rPr>
        <w:t>н</w:t>
      </w:r>
      <w:proofErr w:type="spellEnd"/>
      <w:r w:rsidR="00A30737">
        <w:rPr>
          <w:rFonts w:eastAsia="Calibri"/>
          <w:szCs w:val="28"/>
          <w:lang w:eastAsia="en-US"/>
        </w:rPr>
        <w:t>);</w:t>
      </w:r>
      <w:r w:rsidRPr="008010A3">
        <w:rPr>
          <w:rFonts w:eastAsia="Calibri"/>
          <w:szCs w:val="28"/>
          <w:lang w:eastAsia="en-US"/>
        </w:rPr>
        <w:t xml:space="preserve"> ко-</w:t>
      </w:r>
      <w:proofErr w:type="spellStart"/>
      <w:r w:rsidRPr="008010A3">
        <w:rPr>
          <w:rFonts w:eastAsia="Calibri"/>
          <w:szCs w:val="28"/>
          <w:lang w:eastAsia="en-US"/>
        </w:rPr>
        <w:t>тримоксазол</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противогрибковые средства ряда </w:t>
      </w:r>
      <w:proofErr w:type="spellStart"/>
      <w:r w:rsidRPr="008010A3">
        <w:rPr>
          <w:rFonts w:eastAsia="Calibri"/>
          <w:szCs w:val="28"/>
          <w:lang w:eastAsia="en-US"/>
        </w:rPr>
        <w:t>азолов</w:t>
      </w:r>
      <w:proofErr w:type="spellEnd"/>
      <w:r w:rsidRPr="008010A3">
        <w:rPr>
          <w:rFonts w:eastAsia="Calibri"/>
          <w:szCs w:val="28"/>
          <w:lang w:eastAsia="en-US"/>
        </w:rPr>
        <w:t xml:space="preserve"> (</w:t>
      </w:r>
      <w:proofErr w:type="spellStart"/>
      <w:r w:rsidRPr="008010A3">
        <w:rPr>
          <w:rFonts w:eastAsia="Calibri"/>
          <w:szCs w:val="28"/>
          <w:lang w:eastAsia="en-US"/>
        </w:rPr>
        <w:t>в</w:t>
      </w:r>
      <w:proofErr w:type="gramStart"/>
      <w:r w:rsidRPr="008010A3">
        <w:rPr>
          <w:rFonts w:eastAsia="Calibri"/>
          <w:szCs w:val="28"/>
          <w:lang w:eastAsia="en-US"/>
        </w:rPr>
        <w:t>op</w:t>
      </w:r>
      <w:proofErr w:type="gramEnd"/>
      <w:r w:rsidRPr="008010A3">
        <w:rPr>
          <w:rFonts w:eastAsia="Calibri"/>
          <w:szCs w:val="28"/>
          <w:lang w:eastAsia="en-US"/>
        </w:rPr>
        <w:t>иконазол</w:t>
      </w:r>
      <w:proofErr w:type="spellEnd"/>
      <w:r w:rsidRPr="008010A3">
        <w:rPr>
          <w:rFonts w:eastAsia="Calibri"/>
          <w:szCs w:val="28"/>
          <w:lang w:eastAsia="en-US"/>
        </w:rPr>
        <w:t xml:space="preserve">, </w:t>
      </w:r>
      <w:proofErr w:type="spellStart"/>
      <w:r w:rsidRPr="008010A3">
        <w:rPr>
          <w:rFonts w:eastAsia="Calibri"/>
          <w:szCs w:val="28"/>
          <w:lang w:eastAsia="en-US"/>
        </w:rPr>
        <w:t>итраконазол</w:t>
      </w:r>
      <w:proofErr w:type="spellEnd"/>
      <w:r w:rsidRPr="008010A3">
        <w:rPr>
          <w:rFonts w:eastAsia="Calibri"/>
          <w:szCs w:val="28"/>
          <w:lang w:eastAsia="en-US"/>
        </w:rPr>
        <w:t xml:space="preserve">, </w:t>
      </w:r>
      <w:proofErr w:type="spellStart"/>
      <w:r w:rsidRPr="008010A3">
        <w:rPr>
          <w:rFonts w:eastAsia="Calibri"/>
          <w:szCs w:val="28"/>
          <w:lang w:eastAsia="en-US"/>
        </w:rPr>
        <w:t>кетоконазол</w:t>
      </w:r>
      <w:proofErr w:type="spellEnd"/>
      <w:r w:rsidRPr="008010A3">
        <w:rPr>
          <w:rFonts w:eastAsia="Calibri"/>
          <w:szCs w:val="28"/>
          <w:lang w:eastAsia="en-US"/>
        </w:rPr>
        <w:t xml:space="preserve">, </w:t>
      </w:r>
      <w:proofErr w:type="spellStart"/>
      <w:r w:rsidRPr="008010A3">
        <w:rPr>
          <w:rFonts w:eastAsia="Calibri"/>
          <w:szCs w:val="28"/>
          <w:lang w:eastAsia="en-US"/>
        </w:rPr>
        <w:t>флуконазол</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противомалярийные средства (хинин, </w:t>
      </w:r>
      <w:proofErr w:type="spellStart"/>
      <w:r w:rsidRPr="008010A3">
        <w:rPr>
          <w:rFonts w:eastAsia="Calibri"/>
          <w:szCs w:val="28"/>
          <w:lang w:eastAsia="en-US"/>
        </w:rPr>
        <w:t>хлорохин</w:t>
      </w:r>
      <w:proofErr w:type="spellEnd"/>
      <w:r w:rsidRPr="008010A3">
        <w:rPr>
          <w:rFonts w:eastAsia="Calibri"/>
          <w:szCs w:val="28"/>
          <w:lang w:eastAsia="en-US"/>
        </w:rPr>
        <w:t xml:space="preserve">, </w:t>
      </w:r>
      <w:proofErr w:type="spellStart"/>
      <w:r w:rsidRPr="008010A3">
        <w:rPr>
          <w:rFonts w:eastAsia="Calibri"/>
          <w:szCs w:val="28"/>
          <w:lang w:eastAsia="en-US"/>
        </w:rPr>
        <w:t>мефлохин</w:t>
      </w:r>
      <w:proofErr w:type="spellEnd"/>
      <w:r w:rsidRPr="008010A3">
        <w:rPr>
          <w:rFonts w:eastAsia="Calibri"/>
          <w:szCs w:val="28"/>
          <w:lang w:eastAsia="en-US"/>
        </w:rPr>
        <w:t xml:space="preserve">, </w:t>
      </w:r>
      <w:proofErr w:type="spellStart"/>
      <w:r w:rsidRPr="008010A3">
        <w:rPr>
          <w:rFonts w:eastAsia="Calibri"/>
          <w:szCs w:val="28"/>
          <w:lang w:eastAsia="en-US"/>
        </w:rPr>
        <w:t>галофантрин</w:t>
      </w:r>
      <w:proofErr w:type="spellEnd"/>
      <w:r w:rsidRPr="008010A3">
        <w:rPr>
          <w:rFonts w:eastAsia="Calibri"/>
          <w:szCs w:val="28"/>
          <w:lang w:eastAsia="en-US"/>
        </w:rPr>
        <w:t xml:space="preserve">, </w:t>
      </w:r>
      <w:proofErr w:type="spellStart"/>
      <w:r w:rsidRPr="008010A3">
        <w:rPr>
          <w:rFonts w:eastAsia="Calibri"/>
          <w:szCs w:val="28"/>
          <w:lang w:eastAsia="en-US"/>
        </w:rPr>
        <w:t>лумефантрин</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proofErr w:type="spellStart"/>
      <w:r w:rsidRPr="008010A3">
        <w:rPr>
          <w:rFonts w:eastAsia="Calibri"/>
          <w:szCs w:val="28"/>
          <w:lang w:eastAsia="en-US"/>
        </w:rPr>
        <w:t>антиангинальные</w:t>
      </w:r>
      <w:proofErr w:type="spellEnd"/>
      <w:r w:rsidRPr="008010A3">
        <w:rPr>
          <w:rFonts w:eastAsia="Calibri"/>
          <w:szCs w:val="28"/>
          <w:lang w:eastAsia="en-US"/>
        </w:rPr>
        <w:t xml:space="preserve"> средства (</w:t>
      </w:r>
      <w:proofErr w:type="spellStart"/>
      <w:r w:rsidRPr="008010A3">
        <w:rPr>
          <w:rFonts w:eastAsia="Calibri"/>
          <w:szCs w:val="28"/>
          <w:lang w:eastAsia="en-US"/>
        </w:rPr>
        <w:t>ранолазин</w:t>
      </w:r>
      <w:proofErr w:type="spellEnd"/>
      <w:r w:rsidRPr="008010A3">
        <w:rPr>
          <w:rFonts w:eastAsia="Calibri"/>
          <w:szCs w:val="28"/>
          <w:lang w:eastAsia="en-US"/>
        </w:rPr>
        <w:t xml:space="preserve">, </w:t>
      </w:r>
      <w:proofErr w:type="spellStart"/>
      <w:r w:rsidRPr="008010A3">
        <w:rPr>
          <w:rFonts w:eastAsia="Calibri"/>
          <w:szCs w:val="28"/>
          <w:lang w:eastAsia="en-US"/>
        </w:rPr>
        <w:t>бепридил</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противоопухолевые препараты и иммуномодуляторы (</w:t>
      </w:r>
      <w:proofErr w:type="spellStart"/>
      <w:r w:rsidRPr="008010A3">
        <w:rPr>
          <w:rFonts w:eastAsia="Calibri"/>
          <w:szCs w:val="28"/>
          <w:lang w:eastAsia="en-US"/>
        </w:rPr>
        <w:t>ванд</w:t>
      </w:r>
      <w:proofErr w:type="gramStart"/>
      <w:r w:rsidRPr="008010A3">
        <w:rPr>
          <w:rFonts w:eastAsia="Calibri"/>
          <w:szCs w:val="28"/>
          <w:lang w:eastAsia="en-US"/>
        </w:rPr>
        <w:t>e</w:t>
      </w:r>
      <w:proofErr w:type="gramEnd"/>
      <w:r w:rsidRPr="008010A3">
        <w:rPr>
          <w:rFonts w:eastAsia="Calibri"/>
          <w:szCs w:val="28"/>
          <w:lang w:eastAsia="en-US"/>
        </w:rPr>
        <w:t>тaниб</w:t>
      </w:r>
      <w:proofErr w:type="spellEnd"/>
      <w:r w:rsidRPr="008010A3">
        <w:rPr>
          <w:rFonts w:eastAsia="Calibri"/>
          <w:szCs w:val="28"/>
          <w:lang w:eastAsia="en-US"/>
        </w:rPr>
        <w:t xml:space="preserve">, мышьяка </w:t>
      </w:r>
      <w:proofErr w:type="spellStart"/>
      <w:r w:rsidRPr="008010A3">
        <w:rPr>
          <w:rFonts w:eastAsia="Calibri"/>
          <w:szCs w:val="28"/>
          <w:lang w:eastAsia="en-US"/>
        </w:rPr>
        <w:t>триоксид</w:t>
      </w:r>
      <w:proofErr w:type="spellEnd"/>
      <w:r w:rsidRPr="008010A3">
        <w:rPr>
          <w:rFonts w:eastAsia="Calibri"/>
          <w:szCs w:val="28"/>
          <w:lang w:eastAsia="en-US"/>
        </w:rPr>
        <w:t xml:space="preserve">, </w:t>
      </w:r>
      <w:proofErr w:type="spellStart"/>
      <w:r w:rsidRPr="008010A3">
        <w:rPr>
          <w:rFonts w:eastAsia="Calibri"/>
          <w:szCs w:val="28"/>
          <w:lang w:eastAsia="en-US"/>
        </w:rPr>
        <w:t>оксалиплатин</w:t>
      </w:r>
      <w:proofErr w:type="spellEnd"/>
      <w:r w:rsidRPr="008010A3">
        <w:rPr>
          <w:rFonts w:eastAsia="Calibri"/>
          <w:szCs w:val="28"/>
          <w:lang w:eastAsia="en-US"/>
        </w:rPr>
        <w:t xml:space="preserve">, </w:t>
      </w:r>
      <w:proofErr w:type="spellStart"/>
      <w:r w:rsidRPr="008010A3">
        <w:rPr>
          <w:rFonts w:eastAsia="Calibri"/>
          <w:szCs w:val="28"/>
          <w:lang w:eastAsia="en-US"/>
        </w:rPr>
        <w:t>такролимус</w:t>
      </w:r>
      <w:proofErr w:type="spellEnd"/>
      <w:r w:rsidRPr="008010A3">
        <w:rPr>
          <w:rFonts w:eastAsia="Calibri"/>
          <w:szCs w:val="28"/>
          <w:lang w:eastAsia="en-US"/>
        </w:rPr>
        <w:t xml:space="preserve">, </w:t>
      </w:r>
      <w:proofErr w:type="spellStart"/>
      <w:r w:rsidRPr="008010A3">
        <w:rPr>
          <w:rFonts w:eastAsia="Calibri"/>
          <w:szCs w:val="28"/>
          <w:lang w:eastAsia="en-US"/>
        </w:rPr>
        <w:t>анагрелид</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противорвотные средства (</w:t>
      </w:r>
      <w:proofErr w:type="spellStart"/>
      <w:r w:rsidRPr="008010A3">
        <w:rPr>
          <w:rFonts w:eastAsia="Calibri"/>
          <w:szCs w:val="28"/>
          <w:lang w:eastAsia="en-US"/>
        </w:rPr>
        <w:t>ондансетрон</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средства, влияющие на моторику желудочно-кишечного тракта (</w:t>
      </w:r>
      <w:proofErr w:type="spellStart"/>
      <w:r w:rsidRPr="008010A3">
        <w:rPr>
          <w:rFonts w:eastAsia="Calibri"/>
          <w:szCs w:val="28"/>
          <w:lang w:eastAsia="en-US"/>
        </w:rPr>
        <w:t>циз</w:t>
      </w:r>
      <w:proofErr w:type="gramStart"/>
      <w:r w:rsidRPr="008010A3">
        <w:rPr>
          <w:rFonts w:eastAsia="Calibri"/>
          <w:szCs w:val="28"/>
          <w:lang w:eastAsia="en-US"/>
        </w:rPr>
        <w:t>a</w:t>
      </w:r>
      <w:proofErr w:type="gramEnd"/>
      <w:r w:rsidRPr="008010A3">
        <w:rPr>
          <w:rFonts w:eastAsia="Calibri"/>
          <w:szCs w:val="28"/>
          <w:lang w:eastAsia="en-US"/>
        </w:rPr>
        <w:t>пpид</w:t>
      </w:r>
      <w:proofErr w:type="spellEnd"/>
      <w:r w:rsidRPr="008010A3">
        <w:rPr>
          <w:rFonts w:eastAsia="Calibri"/>
          <w:szCs w:val="28"/>
          <w:lang w:eastAsia="en-US"/>
        </w:rPr>
        <w:t xml:space="preserve">, </w:t>
      </w:r>
      <w:proofErr w:type="spellStart"/>
      <w:r w:rsidRPr="008010A3">
        <w:rPr>
          <w:rFonts w:eastAsia="Calibri"/>
          <w:szCs w:val="28"/>
          <w:lang w:eastAsia="en-US"/>
        </w:rPr>
        <w:t>домперидон</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антигистаминные средства (</w:t>
      </w:r>
      <w:proofErr w:type="spellStart"/>
      <w:r w:rsidRPr="008010A3">
        <w:rPr>
          <w:rFonts w:eastAsia="Calibri"/>
          <w:szCs w:val="28"/>
          <w:lang w:eastAsia="en-US"/>
        </w:rPr>
        <w:t>астемизол</w:t>
      </w:r>
      <w:proofErr w:type="spellEnd"/>
      <w:r w:rsidRPr="008010A3">
        <w:rPr>
          <w:rFonts w:eastAsia="Calibri"/>
          <w:szCs w:val="28"/>
          <w:lang w:eastAsia="en-US"/>
        </w:rPr>
        <w:t xml:space="preserve">, </w:t>
      </w:r>
      <w:proofErr w:type="spellStart"/>
      <w:r w:rsidRPr="008010A3">
        <w:rPr>
          <w:rFonts w:eastAsia="Calibri"/>
          <w:szCs w:val="28"/>
          <w:lang w:eastAsia="en-US"/>
        </w:rPr>
        <w:t>терфенадин</w:t>
      </w:r>
      <w:proofErr w:type="spellEnd"/>
      <w:r w:rsidRPr="008010A3">
        <w:rPr>
          <w:rFonts w:eastAsia="Calibri"/>
          <w:szCs w:val="28"/>
          <w:lang w:eastAsia="en-US"/>
        </w:rPr>
        <w:t xml:space="preserve">, </w:t>
      </w:r>
      <w:proofErr w:type="spellStart"/>
      <w:r w:rsidRPr="008010A3">
        <w:rPr>
          <w:rFonts w:eastAsia="Calibri"/>
          <w:szCs w:val="28"/>
          <w:lang w:eastAsia="en-US"/>
        </w:rPr>
        <w:t>мизоластин</w:t>
      </w:r>
      <w:proofErr w:type="spellEnd"/>
      <w:r w:rsidRPr="008010A3">
        <w:rPr>
          <w:rFonts w:eastAsia="Calibri"/>
          <w:szCs w:val="28"/>
          <w:lang w:eastAsia="en-US"/>
        </w:rPr>
        <w:t xml:space="preserve">); </w:t>
      </w:r>
    </w:p>
    <w:p w:rsidR="008010A3" w:rsidRPr="008010A3" w:rsidRDefault="008010A3" w:rsidP="008A3EFC">
      <w:pPr>
        <w:pStyle w:val="a7"/>
        <w:numPr>
          <w:ilvl w:val="0"/>
          <w:numId w:val="6"/>
        </w:numPr>
        <w:spacing w:line="360" w:lineRule="auto"/>
        <w:jc w:val="both"/>
        <w:rPr>
          <w:rFonts w:eastAsia="Calibri"/>
          <w:szCs w:val="28"/>
          <w:lang w:eastAsia="en-US"/>
        </w:rPr>
      </w:pPr>
      <w:r w:rsidRPr="008010A3">
        <w:rPr>
          <w:rFonts w:eastAsia="Calibri"/>
          <w:szCs w:val="28"/>
          <w:lang w:eastAsia="en-US"/>
        </w:rPr>
        <w:t xml:space="preserve">прочие: </w:t>
      </w:r>
      <w:proofErr w:type="spellStart"/>
      <w:r w:rsidRPr="008010A3">
        <w:rPr>
          <w:rFonts w:eastAsia="Calibri"/>
          <w:szCs w:val="28"/>
          <w:lang w:eastAsia="en-US"/>
        </w:rPr>
        <w:t>пентамидин</w:t>
      </w:r>
      <w:proofErr w:type="spellEnd"/>
      <w:r w:rsidRPr="008010A3">
        <w:rPr>
          <w:rFonts w:eastAsia="Calibri"/>
          <w:szCs w:val="28"/>
          <w:lang w:eastAsia="en-US"/>
        </w:rPr>
        <w:t xml:space="preserve">, </w:t>
      </w:r>
      <w:proofErr w:type="spellStart"/>
      <w:r w:rsidRPr="008010A3">
        <w:rPr>
          <w:rFonts w:eastAsia="Calibri"/>
          <w:szCs w:val="28"/>
          <w:lang w:eastAsia="en-US"/>
        </w:rPr>
        <w:t>дифеманил</w:t>
      </w:r>
      <w:proofErr w:type="spellEnd"/>
      <w:r w:rsidRPr="008010A3">
        <w:rPr>
          <w:rFonts w:eastAsia="Calibri"/>
          <w:szCs w:val="28"/>
          <w:lang w:eastAsia="en-US"/>
        </w:rPr>
        <w:t xml:space="preserve">, </w:t>
      </w:r>
      <w:proofErr w:type="spellStart"/>
      <w:r w:rsidRPr="008010A3">
        <w:rPr>
          <w:rFonts w:eastAsia="Calibri"/>
          <w:szCs w:val="28"/>
          <w:lang w:eastAsia="en-US"/>
        </w:rPr>
        <w:t>винкамин</w:t>
      </w:r>
      <w:proofErr w:type="spellEnd"/>
      <w:r w:rsidRPr="008010A3">
        <w:rPr>
          <w:rFonts w:eastAsia="Calibri"/>
          <w:szCs w:val="28"/>
          <w:lang w:eastAsia="en-US"/>
        </w:rPr>
        <w:t xml:space="preserve"> при внутривенном введении, вазопрессин, </w:t>
      </w:r>
      <w:proofErr w:type="spellStart"/>
      <w:r w:rsidRPr="008010A3">
        <w:rPr>
          <w:rFonts w:eastAsia="Calibri"/>
          <w:szCs w:val="28"/>
          <w:lang w:eastAsia="en-US"/>
        </w:rPr>
        <w:t>терлипрессин</w:t>
      </w:r>
      <w:proofErr w:type="spellEnd"/>
      <w:r w:rsidRPr="008010A3">
        <w:rPr>
          <w:rFonts w:eastAsia="Calibri"/>
          <w:szCs w:val="28"/>
          <w:lang w:eastAsia="en-US"/>
        </w:rPr>
        <w:t xml:space="preserve">, </w:t>
      </w:r>
      <w:proofErr w:type="spellStart"/>
      <w:r w:rsidRPr="008010A3">
        <w:rPr>
          <w:rFonts w:eastAsia="Calibri"/>
          <w:szCs w:val="28"/>
          <w:lang w:eastAsia="en-US"/>
        </w:rPr>
        <w:t>к</w:t>
      </w:r>
      <w:proofErr w:type="gramStart"/>
      <w:r w:rsidRPr="008010A3">
        <w:rPr>
          <w:rFonts w:eastAsia="Calibri"/>
          <w:szCs w:val="28"/>
          <w:lang w:eastAsia="en-US"/>
        </w:rPr>
        <w:t>e</w:t>
      </w:r>
      <w:proofErr w:type="gramEnd"/>
      <w:r w:rsidRPr="008010A3">
        <w:rPr>
          <w:rFonts w:eastAsia="Calibri"/>
          <w:szCs w:val="28"/>
          <w:lang w:eastAsia="en-US"/>
        </w:rPr>
        <w:t>тaнcерин</w:t>
      </w:r>
      <w:proofErr w:type="spellEnd"/>
      <w:r w:rsidRPr="008010A3">
        <w:rPr>
          <w:rFonts w:eastAsia="Calibri"/>
          <w:szCs w:val="28"/>
          <w:lang w:eastAsia="en-US"/>
        </w:rPr>
        <w:t xml:space="preserve">, </w:t>
      </w:r>
      <w:proofErr w:type="spellStart"/>
      <w:r w:rsidRPr="008010A3">
        <w:rPr>
          <w:rFonts w:eastAsia="Calibri"/>
          <w:szCs w:val="28"/>
          <w:lang w:eastAsia="en-US"/>
        </w:rPr>
        <w:t>пробукол</w:t>
      </w:r>
      <w:proofErr w:type="spellEnd"/>
      <w:r w:rsidRPr="008010A3">
        <w:rPr>
          <w:rFonts w:eastAsia="Calibri"/>
          <w:szCs w:val="28"/>
          <w:lang w:eastAsia="en-US"/>
        </w:rPr>
        <w:t xml:space="preserve">, </w:t>
      </w:r>
      <w:proofErr w:type="spellStart"/>
      <w:r w:rsidRPr="008010A3">
        <w:rPr>
          <w:rFonts w:eastAsia="Calibri"/>
          <w:szCs w:val="28"/>
          <w:lang w:eastAsia="en-US"/>
        </w:rPr>
        <w:t>пропофол</w:t>
      </w:r>
      <w:proofErr w:type="spellEnd"/>
      <w:r w:rsidRPr="008010A3">
        <w:rPr>
          <w:rFonts w:eastAsia="Calibri"/>
          <w:szCs w:val="28"/>
          <w:lang w:eastAsia="en-US"/>
        </w:rPr>
        <w:t xml:space="preserve">, </w:t>
      </w:r>
      <w:proofErr w:type="spellStart"/>
      <w:r w:rsidRPr="008010A3">
        <w:rPr>
          <w:rFonts w:eastAsia="Calibri"/>
          <w:szCs w:val="28"/>
          <w:lang w:eastAsia="en-US"/>
        </w:rPr>
        <w:t>севофлуран</w:t>
      </w:r>
      <w:proofErr w:type="spellEnd"/>
      <w:r w:rsidRPr="008010A3">
        <w:rPr>
          <w:rFonts w:eastAsia="Calibri"/>
          <w:szCs w:val="28"/>
          <w:lang w:eastAsia="en-US"/>
        </w:rPr>
        <w:t xml:space="preserve">, </w:t>
      </w:r>
      <w:proofErr w:type="spellStart"/>
      <w:r w:rsidRPr="008010A3">
        <w:rPr>
          <w:rFonts w:eastAsia="Calibri"/>
          <w:szCs w:val="28"/>
          <w:lang w:eastAsia="en-US"/>
        </w:rPr>
        <w:t>теродилин</w:t>
      </w:r>
      <w:proofErr w:type="spellEnd"/>
      <w:r w:rsidRPr="008010A3">
        <w:rPr>
          <w:rFonts w:eastAsia="Calibri"/>
          <w:szCs w:val="28"/>
          <w:lang w:eastAsia="en-US"/>
        </w:rPr>
        <w:t xml:space="preserve">, </w:t>
      </w:r>
      <w:proofErr w:type="spellStart"/>
      <w:r w:rsidRPr="008010A3">
        <w:rPr>
          <w:rFonts w:eastAsia="Calibri"/>
          <w:szCs w:val="28"/>
          <w:lang w:eastAsia="en-US"/>
        </w:rPr>
        <w:t>цитостазол</w:t>
      </w:r>
      <w:proofErr w:type="spellEnd"/>
      <w:r w:rsidRPr="008010A3">
        <w:rPr>
          <w:rFonts w:eastAsia="Calibr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Повышение риска развития желудочковых аритмий, особенно полиморфной</w:t>
      </w:r>
      <w:r w:rsidR="00A73918">
        <w:rPr>
          <w:rFonts w:eastAsia="Calibri"/>
          <w:szCs w:val="28"/>
          <w:lang w:eastAsia="en-US"/>
        </w:rPr>
        <w:t xml:space="preserve"> желудочковой тахикардии типа </w:t>
      </w:r>
      <w:r w:rsidR="008A3EFC">
        <w:rPr>
          <w:rFonts w:eastAsia="Calibri"/>
          <w:szCs w:val="28"/>
          <w:lang w:eastAsia="en-US"/>
        </w:rPr>
        <w:t>«</w:t>
      </w:r>
      <w:r w:rsidR="00A73918">
        <w:rPr>
          <w:rFonts w:eastAsia="Calibri"/>
          <w:szCs w:val="28"/>
          <w:lang w:eastAsia="en-US"/>
        </w:rPr>
        <w:t>пируэт</w:t>
      </w:r>
      <w:r w:rsidR="008A3EFC">
        <w:rPr>
          <w:rFonts w:eastAsia="Calibri"/>
          <w:szCs w:val="28"/>
          <w:lang w:eastAsia="en-US"/>
        </w:rPr>
        <w:t>»</w:t>
      </w:r>
      <w:r w:rsidR="00A73918" w:rsidRPr="00A73918">
        <w:rPr>
          <w:rFonts w:eastAsia="Calibri"/>
          <w:szCs w:val="28"/>
          <w:lang w:eastAsia="en-US"/>
        </w:rPr>
        <w:t xml:space="preserve"> </w:t>
      </w:r>
      <w:r w:rsidRPr="008010A3">
        <w:rPr>
          <w:rFonts w:eastAsia="Calibri"/>
          <w:szCs w:val="28"/>
          <w:lang w:eastAsia="en-US"/>
        </w:rPr>
        <w:t xml:space="preserve">(фактор риска – гипокалиемия). Перед назначением комбинированной терапии </w:t>
      </w:r>
      <w:proofErr w:type="spellStart"/>
      <w:r w:rsidRPr="008010A3">
        <w:rPr>
          <w:rFonts w:eastAsia="Calibri"/>
          <w:szCs w:val="28"/>
          <w:lang w:eastAsia="en-US"/>
        </w:rPr>
        <w:t>индапамидом</w:t>
      </w:r>
      <w:proofErr w:type="spellEnd"/>
      <w:r w:rsidRPr="008010A3">
        <w:rPr>
          <w:rFonts w:eastAsia="Calibri"/>
          <w:szCs w:val="28"/>
          <w:lang w:eastAsia="en-US"/>
        </w:rPr>
        <w:t xml:space="preserve"> и указанными выше препаратами следует провести исследование с целью выявления гипокалиемии и при необходимости провести коррекцию. Необходим контроль клинического состояния пациента, контроль уровня электролитов плазмы крови, показателей ЭКГ. </w:t>
      </w:r>
    </w:p>
    <w:p w:rsidR="00E437B8" w:rsidRPr="00E437B8" w:rsidRDefault="00E437B8" w:rsidP="008010A3">
      <w:pPr>
        <w:pStyle w:val="a7"/>
        <w:spacing w:line="360" w:lineRule="auto"/>
        <w:jc w:val="both"/>
        <w:rPr>
          <w:rFonts w:eastAsia="Calibri"/>
          <w:szCs w:val="28"/>
          <w:lang w:eastAsia="en-US"/>
        </w:rPr>
      </w:pPr>
      <w:r w:rsidRPr="00E437B8">
        <w:rPr>
          <w:rFonts w:eastAsia="Calibri"/>
          <w:i/>
          <w:szCs w:val="28"/>
          <w:lang w:eastAsia="en-US"/>
        </w:rPr>
        <w:lastRenderedPageBreak/>
        <w:t>У</w:t>
      </w:r>
      <w:r w:rsidR="008010A3" w:rsidRPr="00E437B8">
        <w:rPr>
          <w:rFonts w:eastAsia="Calibri"/>
          <w:i/>
          <w:szCs w:val="28"/>
          <w:lang w:eastAsia="en-US"/>
        </w:rPr>
        <w:t xml:space="preserve"> пациентов с гипокалиемией необходимо применять препараты, не вызывающие полиморфную желудочковую тахикардию типа </w:t>
      </w:r>
      <w:r w:rsidR="008A3EFC">
        <w:rPr>
          <w:rFonts w:eastAsia="Calibri"/>
          <w:i/>
          <w:szCs w:val="28"/>
          <w:lang w:eastAsia="en-US"/>
        </w:rPr>
        <w:t>«</w:t>
      </w:r>
      <w:r w:rsidR="008010A3" w:rsidRPr="00E437B8">
        <w:rPr>
          <w:rFonts w:eastAsia="Calibri"/>
          <w:i/>
          <w:szCs w:val="28"/>
          <w:lang w:eastAsia="en-US"/>
        </w:rPr>
        <w:t>пируэт</w:t>
      </w:r>
      <w:r w:rsidR="008A3EFC">
        <w:rPr>
          <w:rFonts w:eastAsia="Calibri"/>
          <w:i/>
          <w:szCs w:val="28"/>
          <w:lang w:eastAsia="en-US"/>
        </w:rPr>
        <w:t>»</w:t>
      </w:r>
      <w:r w:rsidR="008010A3" w:rsidRPr="00E437B8">
        <w:rPr>
          <w:rFonts w:eastAsia="Calibri"/>
          <w:i/>
          <w:szCs w:val="28"/>
          <w:lang w:eastAsia="en-US"/>
        </w:rPr>
        <w:t>.</w:t>
      </w:r>
      <w:r w:rsidR="008010A3" w:rsidRPr="00E437B8">
        <w:rPr>
          <w:rFonts w:eastAsia="Calibri"/>
          <w:szCs w:val="28"/>
          <w:lang w:eastAsia="en-US"/>
        </w:rPr>
        <w:t xml:space="preserve"> </w:t>
      </w:r>
    </w:p>
    <w:p w:rsidR="00E437B8" w:rsidRPr="00D13D31" w:rsidRDefault="008010A3" w:rsidP="008010A3">
      <w:pPr>
        <w:pStyle w:val="a7"/>
        <w:spacing w:line="360" w:lineRule="auto"/>
        <w:jc w:val="both"/>
        <w:rPr>
          <w:rFonts w:eastAsia="Calibri"/>
          <w:szCs w:val="28"/>
          <w:lang w:eastAsia="en-US"/>
        </w:rPr>
      </w:pPr>
      <w:r w:rsidRPr="000F3052">
        <w:rPr>
          <w:rFonts w:eastAsia="Calibri"/>
          <w:b/>
          <w:i/>
          <w:szCs w:val="28"/>
          <w:lang w:eastAsia="en-US"/>
        </w:rPr>
        <w:t xml:space="preserve">- </w:t>
      </w:r>
      <w:r w:rsidRPr="00D13D31">
        <w:rPr>
          <w:rFonts w:eastAsia="Calibri"/>
          <w:i/>
          <w:szCs w:val="28"/>
          <w:lang w:eastAsia="en-US"/>
        </w:rPr>
        <w:t xml:space="preserve">Нестероидные противовоспалительные препараты (при системном назначении), включая селективные ингибиторы </w:t>
      </w:r>
      <w:r w:rsidR="004701FB">
        <w:rPr>
          <w:rFonts w:eastAsia="Calibri"/>
          <w:i/>
          <w:szCs w:val="28"/>
          <w:lang w:eastAsia="en-US"/>
        </w:rPr>
        <w:t>циклооксигеназы-2 (</w:t>
      </w:r>
      <w:r w:rsidRPr="00D13D31">
        <w:rPr>
          <w:rFonts w:eastAsia="Calibri"/>
          <w:i/>
          <w:szCs w:val="28"/>
          <w:lang w:eastAsia="en-US"/>
        </w:rPr>
        <w:t>ЦОГ-2</w:t>
      </w:r>
      <w:r w:rsidR="004701FB">
        <w:rPr>
          <w:rFonts w:eastAsia="Calibri"/>
          <w:i/>
          <w:szCs w:val="28"/>
          <w:lang w:eastAsia="en-US"/>
        </w:rPr>
        <w:t>)</w:t>
      </w:r>
      <w:r w:rsidRPr="00D13D31">
        <w:rPr>
          <w:rFonts w:eastAsia="Calibri"/>
          <w:i/>
          <w:szCs w:val="28"/>
          <w:lang w:eastAsia="en-US"/>
        </w:rPr>
        <w:t>, высокие дозы ацетилсалициловой кислот</w:t>
      </w:r>
      <w:r w:rsidR="00E437B8" w:rsidRPr="00D13D31">
        <w:rPr>
          <w:rFonts w:eastAsia="Calibri"/>
          <w:i/>
          <w:szCs w:val="28"/>
          <w:lang w:eastAsia="en-US"/>
        </w:rPr>
        <w:t>ы (≥</w:t>
      </w:r>
      <w:r w:rsidRPr="00D13D31">
        <w:rPr>
          <w:rFonts w:eastAsia="Calibri"/>
          <w:i/>
          <w:szCs w:val="28"/>
          <w:lang w:eastAsia="en-US"/>
        </w:rPr>
        <w:t>3 г/сутки):</w:t>
      </w:r>
      <w:r w:rsidRPr="00D13D31">
        <w:rPr>
          <w:rFonts w:eastAsia="Calibri"/>
          <w:szCs w:val="28"/>
          <w:lang w:eastAsia="en-US"/>
        </w:rPr>
        <w:t xml:space="preserve"> </w:t>
      </w:r>
    </w:p>
    <w:p w:rsidR="008010A3" w:rsidRPr="00E437B8" w:rsidRDefault="008010A3" w:rsidP="008010A3">
      <w:pPr>
        <w:pStyle w:val="a7"/>
        <w:spacing w:line="360" w:lineRule="auto"/>
        <w:jc w:val="both"/>
        <w:rPr>
          <w:rFonts w:eastAsia="Calibri"/>
          <w:i/>
          <w:szCs w:val="28"/>
          <w:lang w:eastAsia="en-US"/>
        </w:rPr>
      </w:pPr>
      <w:r w:rsidRPr="008010A3">
        <w:rPr>
          <w:rFonts w:eastAsia="Calibri"/>
          <w:szCs w:val="28"/>
          <w:lang w:eastAsia="en-US"/>
        </w:rPr>
        <w:t xml:space="preserve">Возможно снижение </w:t>
      </w:r>
      <w:proofErr w:type="spellStart"/>
      <w:r w:rsidRPr="008010A3">
        <w:rPr>
          <w:rFonts w:eastAsia="Calibri"/>
          <w:szCs w:val="28"/>
          <w:lang w:eastAsia="en-US"/>
        </w:rPr>
        <w:t>антигипе</w:t>
      </w:r>
      <w:r w:rsidR="00A30737">
        <w:rPr>
          <w:rFonts w:eastAsia="Calibri"/>
          <w:szCs w:val="28"/>
          <w:lang w:eastAsia="en-US"/>
        </w:rPr>
        <w:t>ртензивного</w:t>
      </w:r>
      <w:proofErr w:type="spellEnd"/>
      <w:r w:rsidR="00A30737">
        <w:rPr>
          <w:rFonts w:eastAsia="Calibri"/>
          <w:szCs w:val="28"/>
          <w:lang w:eastAsia="en-US"/>
        </w:rPr>
        <w:t xml:space="preserve"> действия </w:t>
      </w:r>
      <w:proofErr w:type="spellStart"/>
      <w:r w:rsidR="00A30737">
        <w:rPr>
          <w:rFonts w:eastAsia="Calibri"/>
          <w:szCs w:val="28"/>
          <w:lang w:eastAsia="en-US"/>
        </w:rPr>
        <w:t>индапамида</w:t>
      </w:r>
      <w:proofErr w:type="spellEnd"/>
      <w:r w:rsidR="00A30737">
        <w:rPr>
          <w:rFonts w:eastAsia="Calibri"/>
          <w:szCs w:val="28"/>
          <w:lang w:eastAsia="en-US"/>
        </w:rPr>
        <w:t>.</w:t>
      </w:r>
      <w:r w:rsidRPr="008010A3">
        <w:rPr>
          <w:rFonts w:eastAsia="Calibr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У обезвоженных пациентов существует риск развития острой почечной недостаточности вследствие снижения клубочковой фильтрации. Пациентам необходимо компенсировать потерю жидкости и в начале лечения тщательно контролировать функцию почек. </w:t>
      </w:r>
    </w:p>
    <w:p w:rsidR="008010A3" w:rsidRPr="00E437B8" w:rsidRDefault="008010A3" w:rsidP="008010A3">
      <w:pPr>
        <w:pStyle w:val="a7"/>
        <w:spacing w:line="360" w:lineRule="auto"/>
        <w:jc w:val="both"/>
        <w:rPr>
          <w:rFonts w:eastAsia="Calibri"/>
          <w:b/>
          <w:i/>
          <w:szCs w:val="28"/>
          <w:lang w:eastAsia="en-US"/>
        </w:rPr>
      </w:pPr>
      <w:r w:rsidRPr="00E437B8">
        <w:rPr>
          <w:rFonts w:eastAsia="Calibri"/>
          <w:b/>
          <w:i/>
          <w:szCs w:val="28"/>
          <w:lang w:eastAsia="en-US"/>
        </w:rPr>
        <w:t xml:space="preserve">- </w:t>
      </w:r>
      <w:r w:rsidRPr="00D13D31">
        <w:rPr>
          <w:rFonts w:eastAsia="Calibri"/>
          <w:i/>
          <w:szCs w:val="28"/>
          <w:lang w:eastAsia="en-US"/>
        </w:rPr>
        <w:t xml:space="preserve">Ингибиторы </w:t>
      </w:r>
      <w:proofErr w:type="spellStart"/>
      <w:r w:rsidRPr="00D13D31">
        <w:rPr>
          <w:rFonts w:eastAsia="Calibri"/>
          <w:i/>
          <w:szCs w:val="28"/>
          <w:lang w:eastAsia="en-US"/>
        </w:rPr>
        <w:t>ангиотензин</w:t>
      </w:r>
      <w:proofErr w:type="spellEnd"/>
      <w:r w:rsidRPr="00D13D31">
        <w:rPr>
          <w:rFonts w:eastAsia="Calibri"/>
          <w:i/>
          <w:szCs w:val="28"/>
          <w:lang w:eastAsia="en-US"/>
        </w:rPr>
        <w:t>-превращающего фермента (АПФ):</w:t>
      </w:r>
      <w:r w:rsidRPr="00E437B8">
        <w:rPr>
          <w:rFonts w:eastAsia="Calibri"/>
          <w:b/>
          <w: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Назначение ингибиторов АПФ пациентам с изначально сниженной концентрацией ионов натрия в крови сопровождается риском внезапной артериальной гипотензии и/или острой почечной недостаточности (в частности, пациентам со стенозом почечной артерии).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Пациентам с </w:t>
      </w:r>
      <w:r w:rsidRPr="00C71568">
        <w:rPr>
          <w:rFonts w:eastAsia="Calibri"/>
          <w:i/>
          <w:szCs w:val="28"/>
          <w:lang w:eastAsia="en-US"/>
        </w:rPr>
        <w:t>артериальной гипертензией</w:t>
      </w:r>
      <w:r w:rsidRPr="008010A3">
        <w:rPr>
          <w:rFonts w:eastAsia="Calibri"/>
          <w:szCs w:val="28"/>
          <w:lang w:eastAsia="en-US"/>
        </w:rPr>
        <w:t xml:space="preserve"> и возможно сниженной, вследствие предшествующего приема диуретиков, конц</w:t>
      </w:r>
      <w:r w:rsidR="00E437B8">
        <w:rPr>
          <w:rFonts w:eastAsia="Calibri"/>
          <w:szCs w:val="28"/>
          <w:lang w:eastAsia="en-US"/>
        </w:rPr>
        <w:t xml:space="preserve">ентрацией ионов натрия в плазме </w:t>
      </w:r>
      <w:r w:rsidRPr="008010A3">
        <w:rPr>
          <w:rFonts w:eastAsia="Calibri"/>
          <w:szCs w:val="28"/>
          <w:lang w:eastAsia="en-US"/>
        </w:rPr>
        <w:t xml:space="preserve">крови необходимо: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 за 3 дня до начала лечения ингибитором </w:t>
      </w:r>
      <w:r w:rsidR="00C71568">
        <w:rPr>
          <w:rFonts w:eastAsia="Calibri"/>
          <w:szCs w:val="28"/>
          <w:lang w:eastAsia="en-US"/>
        </w:rPr>
        <w:t xml:space="preserve">АПФ прекратить прием диуретика. </w:t>
      </w:r>
      <w:r w:rsidRPr="008010A3">
        <w:rPr>
          <w:rFonts w:eastAsia="Calibri"/>
          <w:szCs w:val="28"/>
          <w:lang w:eastAsia="en-US"/>
        </w:rPr>
        <w:t xml:space="preserve">В дальнейшем, при необходимости, прием </w:t>
      </w:r>
      <w:proofErr w:type="spellStart"/>
      <w:r w:rsidRPr="008010A3">
        <w:rPr>
          <w:rFonts w:eastAsia="Calibri"/>
          <w:szCs w:val="28"/>
          <w:lang w:eastAsia="en-US"/>
        </w:rPr>
        <w:t>некалийсберегающего</w:t>
      </w:r>
      <w:proofErr w:type="spellEnd"/>
      <w:r w:rsidRPr="008010A3">
        <w:rPr>
          <w:rFonts w:eastAsia="Calibri"/>
          <w:szCs w:val="28"/>
          <w:lang w:eastAsia="en-US"/>
        </w:rPr>
        <w:t xml:space="preserve"> диуретика можно возобновить; </w:t>
      </w:r>
    </w:p>
    <w:p w:rsidR="008010A3" w:rsidRPr="008010A3" w:rsidRDefault="00C71568" w:rsidP="008010A3">
      <w:pPr>
        <w:pStyle w:val="a7"/>
        <w:spacing w:line="360" w:lineRule="auto"/>
        <w:jc w:val="both"/>
        <w:rPr>
          <w:rFonts w:eastAsia="Calibri"/>
          <w:szCs w:val="28"/>
          <w:lang w:eastAsia="en-US"/>
        </w:rPr>
      </w:pPr>
      <w:r>
        <w:rPr>
          <w:rFonts w:eastAsia="Calibri"/>
          <w:szCs w:val="28"/>
          <w:lang w:eastAsia="en-US"/>
        </w:rPr>
        <w:t xml:space="preserve">- </w:t>
      </w:r>
      <w:r w:rsidR="008010A3" w:rsidRPr="008010A3">
        <w:rPr>
          <w:rFonts w:eastAsia="Calibri"/>
          <w:szCs w:val="28"/>
          <w:lang w:eastAsia="en-US"/>
        </w:rPr>
        <w:t xml:space="preserve">или начинать терапию ингибитором АПФ с низких доз, с последующим постепенным увеличением дозы в случае необходимости.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При </w:t>
      </w:r>
      <w:r w:rsidRPr="00C71568">
        <w:rPr>
          <w:rFonts w:eastAsia="Calibri"/>
          <w:i/>
          <w:szCs w:val="28"/>
          <w:lang w:eastAsia="en-US"/>
        </w:rPr>
        <w:t>хронической сердечной недостаточности</w:t>
      </w:r>
      <w:r w:rsidRPr="008010A3">
        <w:rPr>
          <w:rFonts w:eastAsia="Calibri"/>
          <w:szCs w:val="28"/>
          <w:lang w:eastAsia="en-US"/>
        </w:rPr>
        <w:t xml:space="preserve"> лечение ингибиторами АПФ следует начинать с самых низких доз с возможным предварительным снижением доз </w:t>
      </w:r>
      <w:proofErr w:type="spellStart"/>
      <w:r w:rsidRPr="008010A3">
        <w:rPr>
          <w:rFonts w:eastAsia="Calibri"/>
          <w:szCs w:val="28"/>
          <w:lang w:eastAsia="en-US"/>
        </w:rPr>
        <w:t>некалийсберегающего</w:t>
      </w:r>
      <w:proofErr w:type="spellEnd"/>
      <w:r w:rsidRPr="008010A3">
        <w:rPr>
          <w:rFonts w:eastAsia="Calibri"/>
          <w:szCs w:val="28"/>
          <w:lang w:eastAsia="en-US"/>
        </w:rPr>
        <w:t xml:space="preserve"> диуретика. </w:t>
      </w:r>
    </w:p>
    <w:p w:rsidR="008010A3" w:rsidRPr="008010A3" w:rsidRDefault="008010A3" w:rsidP="008010A3">
      <w:pPr>
        <w:pStyle w:val="a7"/>
        <w:spacing w:line="360" w:lineRule="auto"/>
        <w:jc w:val="both"/>
        <w:rPr>
          <w:rFonts w:eastAsia="Calibri"/>
          <w:szCs w:val="28"/>
          <w:lang w:eastAsia="en-US"/>
        </w:rPr>
      </w:pPr>
      <w:r w:rsidRPr="00C71568">
        <w:rPr>
          <w:rFonts w:eastAsia="Calibri"/>
          <w:i/>
          <w:szCs w:val="28"/>
          <w:lang w:eastAsia="en-US"/>
        </w:rPr>
        <w:t>Во всех случаях</w:t>
      </w:r>
      <w:r w:rsidRPr="008010A3">
        <w:rPr>
          <w:rFonts w:eastAsia="Calibri"/>
          <w:szCs w:val="28"/>
          <w:lang w:eastAsia="en-US"/>
        </w:rPr>
        <w:t xml:space="preserve"> в первые недели приема ингибиторов АПФ у пациентов необходимо контролировать функцию почек (концентрацию креатинина в плазме крови). </w:t>
      </w:r>
    </w:p>
    <w:p w:rsidR="008010A3" w:rsidRPr="00D13D31" w:rsidRDefault="008010A3" w:rsidP="008010A3">
      <w:pPr>
        <w:pStyle w:val="a7"/>
        <w:spacing w:line="360" w:lineRule="auto"/>
        <w:jc w:val="both"/>
        <w:rPr>
          <w:rFonts w:eastAsia="Calibri"/>
          <w:szCs w:val="28"/>
          <w:lang w:eastAsia="en-US"/>
        </w:rPr>
      </w:pPr>
      <w:r w:rsidRPr="00D13D31">
        <w:rPr>
          <w:rFonts w:eastAsia="Calibri"/>
          <w:szCs w:val="28"/>
          <w:lang w:eastAsia="en-US"/>
        </w:rPr>
        <w:lastRenderedPageBreak/>
        <w:t xml:space="preserve">- </w:t>
      </w:r>
      <w:r w:rsidRPr="00D13D31">
        <w:rPr>
          <w:rFonts w:eastAsia="Calibri"/>
          <w:i/>
          <w:szCs w:val="28"/>
          <w:lang w:eastAsia="en-US"/>
        </w:rPr>
        <w:t xml:space="preserve">Другие препараты, способные вызывать </w:t>
      </w:r>
      <w:proofErr w:type="spellStart"/>
      <w:r w:rsidRPr="00D13D31">
        <w:rPr>
          <w:rFonts w:eastAsia="Calibri"/>
          <w:i/>
          <w:szCs w:val="28"/>
          <w:lang w:eastAsia="en-US"/>
        </w:rPr>
        <w:t>гипокалиемию</w:t>
      </w:r>
      <w:proofErr w:type="spellEnd"/>
      <w:r w:rsidRPr="00D13D31">
        <w:rPr>
          <w:rFonts w:eastAsia="Calibri"/>
          <w:i/>
          <w:szCs w:val="28"/>
          <w:lang w:eastAsia="en-US"/>
        </w:rPr>
        <w:t xml:space="preserve">: </w:t>
      </w:r>
      <w:proofErr w:type="spellStart"/>
      <w:r w:rsidRPr="00D13D31">
        <w:rPr>
          <w:rFonts w:eastAsia="Calibri"/>
          <w:i/>
          <w:szCs w:val="28"/>
          <w:lang w:eastAsia="en-US"/>
        </w:rPr>
        <w:t>амфотерицин</w:t>
      </w:r>
      <w:proofErr w:type="spellEnd"/>
      <w:r w:rsidRPr="00D13D31">
        <w:rPr>
          <w:rFonts w:eastAsia="Calibri"/>
          <w:i/>
          <w:szCs w:val="28"/>
          <w:lang w:eastAsia="en-US"/>
        </w:rPr>
        <w:t xml:space="preserve"> B (в/в), </w:t>
      </w:r>
      <w:proofErr w:type="spellStart"/>
      <w:r w:rsidRPr="00D13D31">
        <w:rPr>
          <w:rFonts w:eastAsia="Calibri"/>
          <w:i/>
          <w:szCs w:val="28"/>
          <w:lang w:eastAsia="en-US"/>
        </w:rPr>
        <w:t>глюк</w:t>
      </w:r>
      <w:proofErr w:type="gramStart"/>
      <w:r w:rsidRPr="00D13D31">
        <w:rPr>
          <w:rFonts w:eastAsia="Calibri"/>
          <w:i/>
          <w:szCs w:val="28"/>
          <w:lang w:eastAsia="en-US"/>
        </w:rPr>
        <w:t>о</w:t>
      </w:r>
      <w:proofErr w:type="spellEnd"/>
      <w:r w:rsidR="00C71568" w:rsidRPr="00D13D31">
        <w:rPr>
          <w:rFonts w:eastAsia="Calibri"/>
          <w:i/>
          <w:szCs w:val="28"/>
          <w:lang w:eastAsia="en-US"/>
        </w:rPr>
        <w:t>-</w:t>
      </w:r>
      <w:proofErr w:type="gramEnd"/>
      <w:r w:rsidRPr="00D13D31">
        <w:rPr>
          <w:rFonts w:eastAsia="Calibri"/>
          <w:i/>
          <w:szCs w:val="28"/>
          <w:lang w:eastAsia="en-US"/>
        </w:rPr>
        <w:t xml:space="preserve"> и </w:t>
      </w:r>
      <w:proofErr w:type="spellStart"/>
      <w:r w:rsidRPr="00D13D31">
        <w:rPr>
          <w:rFonts w:eastAsia="Calibri"/>
          <w:i/>
          <w:szCs w:val="28"/>
          <w:lang w:eastAsia="en-US"/>
        </w:rPr>
        <w:t>минералокортикоиды</w:t>
      </w:r>
      <w:proofErr w:type="spellEnd"/>
      <w:r w:rsidRPr="00D13D31">
        <w:rPr>
          <w:rFonts w:eastAsia="Calibri"/>
          <w:i/>
          <w:szCs w:val="28"/>
          <w:lang w:eastAsia="en-US"/>
        </w:rPr>
        <w:t xml:space="preserve"> (при системном применении), </w:t>
      </w:r>
      <w:proofErr w:type="spellStart"/>
      <w:r w:rsidRPr="00D13D31">
        <w:rPr>
          <w:rFonts w:eastAsia="Calibri"/>
          <w:i/>
          <w:szCs w:val="28"/>
          <w:lang w:eastAsia="en-US"/>
        </w:rPr>
        <w:t>тетракозактид</w:t>
      </w:r>
      <w:proofErr w:type="spellEnd"/>
      <w:r w:rsidRPr="00D13D31">
        <w:rPr>
          <w:rFonts w:eastAsia="Calibri"/>
          <w:i/>
          <w:szCs w:val="28"/>
          <w:lang w:eastAsia="en-US"/>
        </w:rPr>
        <w:t>, слабительные средства, стимулирующие моторику кишечника:</w:t>
      </w:r>
      <w:r w:rsidRPr="00D13D31">
        <w:rPr>
          <w:rFonts w:eastAsia="Calibr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Увеличение риска развития гипокалиемии (аддитивный эффект).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Необходим постоянный контроль концентрации калия в плазме крови, при необходимости – ее коррекция. Особое внимание следует уделять пациентам, одновременно получающим сердечные гликозиды. Рекомендуется использовать слабительные средства, не стимулирующие моторику кишечника.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xml:space="preserve">- </w:t>
      </w:r>
      <w:proofErr w:type="spellStart"/>
      <w:r w:rsidRPr="00D13D31">
        <w:rPr>
          <w:rFonts w:eastAsia="Calibri"/>
          <w:i/>
          <w:szCs w:val="28"/>
          <w:lang w:eastAsia="en-US"/>
        </w:rPr>
        <w:t>Баклофен</w:t>
      </w:r>
      <w:proofErr w:type="spellEnd"/>
      <w:r w:rsidRPr="00D13D31">
        <w:rPr>
          <w:rFonts w:eastAsia="Calibri"/>
          <w: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Отмечается усиление </w:t>
      </w:r>
      <w:proofErr w:type="spellStart"/>
      <w:r w:rsidRPr="008010A3">
        <w:rPr>
          <w:rFonts w:eastAsia="Calibri"/>
          <w:szCs w:val="28"/>
          <w:lang w:eastAsia="en-US"/>
        </w:rPr>
        <w:t>антигипертензивного</w:t>
      </w:r>
      <w:proofErr w:type="spellEnd"/>
      <w:r w:rsidRPr="008010A3">
        <w:rPr>
          <w:rFonts w:eastAsia="Calibri"/>
          <w:szCs w:val="28"/>
          <w:lang w:eastAsia="en-US"/>
        </w:rPr>
        <w:t xml:space="preserve"> эффекта.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Пациентам необходимо компенсировать поте</w:t>
      </w:r>
      <w:r w:rsidR="000F3052">
        <w:rPr>
          <w:rFonts w:eastAsia="Calibri"/>
          <w:szCs w:val="28"/>
          <w:lang w:eastAsia="en-US"/>
        </w:rPr>
        <w:t xml:space="preserve">рю жидкости и в начале лечения тщательно </w:t>
      </w:r>
      <w:r w:rsidRPr="008010A3">
        <w:rPr>
          <w:rFonts w:eastAsia="Calibri"/>
          <w:szCs w:val="28"/>
          <w:lang w:eastAsia="en-US"/>
        </w:rPr>
        <w:t xml:space="preserve">контролировать функцию почек.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xml:space="preserve">- Сердечные гликозиды: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Гипокалиемия усиливает токсические эффекты сердечных гликозидов.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При одновременном применении </w:t>
      </w:r>
      <w:proofErr w:type="spellStart"/>
      <w:r w:rsidRPr="008010A3">
        <w:rPr>
          <w:rFonts w:eastAsia="Calibri"/>
          <w:szCs w:val="28"/>
          <w:lang w:eastAsia="en-US"/>
        </w:rPr>
        <w:t>индапамида</w:t>
      </w:r>
      <w:proofErr w:type="spellEnd"/>
      <w:r w:rsidRPr="008010A3">
        <w:rPr>
          <w:rFonts w:eastAsia="Calibri"/>
          <w:szCs w:val="28"/>
          <w:lang w:eastAsia="en-US"/>
        </w:rPr>
        <w:t xml:space="preserve"> и сердечных гликозидов следует контролировать концентрацию калия</w:t>
      </w:r>
      <w:r w:rsidR="00D13D31">
        <w:rPr>
          <w:rFonts w:eastAsia="Calibri"/>
          <w:szCs w:val="28"/>
          <w:lang w:eastAsia="en-US"/>
        </w:rPr>
        <w:t xml:space="preserve"> в плазме крови, показатели ЭКГ</w:t>
      </w:r>
      <w:r w:rsidRPr="008010A3">
        <w:rPr>
          <w:rFonts w:eastAsia="Calibri"/>
          <w:szCs w:val="28"/>
          <w:lang w:eastAsia="en-US"/>
        </w:rPr>
        <w:t xml:space="preserve"> и, при необходимости, корректировать терапию. </w:t>
      </w:r>
    </w:p>
    <w:p w:rsidR="008010A3" w:rsidRPr="008A3EFC" w:rsidRDefault="008010A3" w:rsidP="008010A3">
      <w:pPr>
        <w:pStyle w:val="a7"/>
        <w:spacing w:line="360" w:lineRule="auto"/>
        <w:jc w:val="both"/>
        <w:rPr>
          <w:rFonts w:eastAsia="Calibri"/>
          <w:i/>
          <w:szCs w:val="28"/>
          <w:lang w:eastAsia="en-US"/>
        </w:rPr>
      </w:pPr>
      <w:r w:rsidRPr="008A3EFC">
        <w:rPr>
          <w:rFonts w:eastAsia="Calibri"/>
          <w:i/>
          <w:szCs w:val="28"/>
          <w:lang w:eastAsia="en-US"/>
        </w:rPr>
        <w:t xml:space="preserve">Комбинации, требующие особого внимания </w:t>
      </w:r>
    </w:p>
    <w:p w:rsidR="008010A3" w:rsidRPr="00D13D31" w:rsidRDefault="008010A3" w:rsidP="008010A3">
      <w:pPr>
        <w:pStyle w:val="a7"/>
        <w:spacing w:line="360" w:lineRule="auto"/>
        <w:jc w:val="both"/>
        <w:rPr>
          <w:rFonts w:eastAsia="Calibri"/>
          <w:szCs w:val="28"/>
          <w:lang w:eastAsia="en-US"/>
        </w:rPr>
      </w:pPr>
      <w:r w:rsidRPr="00D13D31">
        <w:rPr>
          <w:rFonts w:eastAsia="Calibri"/>
          <w:i/>
          <w:szCs w:val="28"/>
          <w:lang w:eastAsia="en-US"/>
        </w:rPr>
        <w:t xml:space="preserve">- </w:t>
      </w:r>
      <w:proofErr w:type="spellStart"/>
      <w:r w:rsidRPr="00D13D31">
        <w:rPr>
          <w:rFonts w:eastAsia="Calibri"/>
          <w:i/>
          <w:szCs w:val="28"/>
          <w:lang w:eastAsia="en-US"/>
        </w:rPr>
        <w:t>Аллопуринол</w:t>
      </w:r>
      <w:proofErr w:type="spellEnd"/>
      <w:r w:rsidRPr="00D13D31">
        <w:rPr>
          <w:rFonts w:eastAsia="Calibri"/>
          <w:szCs w:val="28"/>
          <w:lang w:eastAsia="en-US"/>
        </w:rPr>
        <w:t xml:space="preserve">: </w:t>
      </w:r>
    </w:p>
    <w:p w:rsidR="000F3052"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Совместное применение с </w:t>
      </w:r>
      <w:proofErr w:type="spellStart"/>
      <w:r w:rsidRPr="008010A3">
        <w:rPr>
          <w:rFonts w:eastAsia="Calibri"/>
          <w:szCs w:val="28"/>
          <w:lang w:eastAsia="en-US"/>
        </w:rPr>
        <w:t>индапамидом</w:t>
      </w:r>
      <w:proofErr w:type="spellEnd"/>
      <w:r w:rsidRPr="008010A3">
        <w:rPr>
          <w:rFonts w:eastAsia="Calibri"/>
          <w:szCs w:val="28"/>
          <w:lang w:eastAsia="en-US"/>
        </w:rPr>
        <w:t xml:space="preserve"> может повышать риск развития реакций гиперчувствительн</w:t>
      </w:r>
      <w:r w:rsidR="000F3052">
        <w:rPr>
          <w:rFonts w:eastAsia="Calibri"/>
          <w:szCs w:val="28"/>
          <w:lang w:eastAsia="en-US"/>
        </w:rPr>
        <w:t xml:space="preserve">ости при лечении </w:t>
      </w:r>
      <w:proofErr w:type="spellStart"/>
      <w:r w:rsidR="000F3052">
        <w:rPr>
          <w:rFonts w:eastAsia="Calibri"/>
          <w:szCs w:val="28"/>
          <w:lang w:eastAsia="en-US"/>
        </w:rPr>
        <w:t>аллопуринолом</w:t>
      </w:r>
      <w:proofErr w:type="spellEnd"/>
      <w:r w:rsidR="000F3052">
        <w:rPr>
          <w:rFonts w:eastAsia="Calibri"/>
          <w:szCs w:val="28"/>
          <w:lang w:eastAsia="en-US"/>
        </w:rPr>
        <w:t>.</w:t>
      </w:r>
    </w:p>
    <w:p w:rsidR="008010A3" w:rsidRPr="008A3EFC" w:rsidRDefault="008010A3" w:rsidP="008010A3">
      <w:pPr>
        <w:pStyle w:val="a7"/>
        <w:spacing w:line="360" w:lineRule="auto"/>
        <w:jc w:val="both"/>
        <w:rPr>
          <w:rFonts w:eastAsia="Calibri"/>
          <w:i/>
          <w:szCs w:val="28"/>
          <w:lang w:eastAsia="en-US"/>
        </w:rPr>
      </w:pPr>
      <w:r w:rsidRPr="008A3EFC">
        <w:rPr>
          <w:rFonts w:eastAsia="Calibri"/>
          <w:i/>
          <w:szCs w:val="28"/>
          <w:lang w:eastAsia="en-US"/>
        </w:rPr>
        <w:t xml:space="preserve">Комбинации, требующие внимания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Калийсберегающие диуретики (</w:t>
      </w:r>
      <w:proofErr w:type="spellStart"/>
      <w:r w:rsidRPr="00D13D31">
        <w:rPr>
          <w:rFonts w:eastAsia="Calibri"/>
          <w:i/>
          <w:szCs w:val="28"/>
          <w:lang w:eastAsia="en-US"/>
        </w:rPr>
        <w:t>амилорид</w:t>
      </w:r>
      <w:proofErr w:type="spellEnd"/>
      <w:r w:rsidRPr="00D13D31">
        <w:rPr>
          <w:rFonts w:eastAsia="Calibri"/>
          <w:i/>
          <w:szCs w:val="28"/>
          <w:lang w:eastAsia="en-US"/>
        </w:rPr>
        <w:t xml:space="preserve">, </w:t>
      </w:r>
      <w:proofErr w:type="spellStart"/>
      <w:r w:rsidRPr="00D13D31">
        <w:rPr>
          <w:rFonts w:eastAsia="Calibri"/>
          <w:i/>
          <w:szCs w:val="28"/>
          <w:lang w:eastAsia="en-US"/>
        </w:rPr>
        <w:t>спиронолактон</w:t>
      </w:r>
      <w:proofErr w:type="spellEnd"/>
      <w:r w:rsidRPr="00D13D31">
        <w:rPr>
          <w:rFonts w:eastAsia="Calibri"/>
          <w:i/>
          <w:szCs w:val="28"/>
          <w:lang w:eastAsia="en-US"/>
        </w:rPr>
        <w:t xml:space="preserve">, </w:t>
      </w:r>
      <w:proofErr w:type="spellStart"/>
      <w:r w:rsidRPr="00D13D31">
        <w:rPr>
          <w:rFonts w:eastAsia="Calibri"/>
          <w:i/>
          <w:szCs w:val="28"/>
          <w:lang w:eastAsia="en-US"/>
        </w:rPr>
        <w:t>триамтерен</w:t>
      </w:r>
      <w:proofErr w:type="spellEnd"/>
      <w:r w:rsidRPr="00D13D31">
        <w:rPr>
          <w:rFonts w:eastAsia="Calibri"/>
          <w:i/>
          <w:szCs w:val="28"/>
          <w:lang w:eastAsia="en-US"/>
        </w:rPr>
        <w:t xml:space="preserve">): </w:t>
      </w:r>
    </w:p>
    <w:p w:rsidR="000F3052"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Комбинированная терапия </w:t>
      </w:r>
      <w:proofErr w:type="spellStart"/>
      <w:r w:rsidRPr="008010A3">
        <w:rPr>
          <w:rFonts w:eastAsia="Calibri"/>
          <w:szCs w:val="28"/>
          <w:lang w:eastAsia="en-US"/>
        </w:rPr>
        <w:t>индапамидом</w:t>
      </w:r>
      <w:proofErr w:type="spellEnd"/>
      <w:r w:rsidRPr="008010A3">
        <w:rPr>
          <w:rFonts w:eastAsia="Calibri"/>
          <w:szCs w:val="28"/>
          <w:lang w:eastAsia="en-US"/>
        </w:rPr>
        <w:t xml:space="preserve"> и </w:t>
      </w:r>
      <w:proofErr w:type="gramStart"/>
      <w:r w:rsidRPr="008010A3">
        <w:rPr>
          <w:rFonts w:eastAsia="Calibri"/>
          <w:szCs w:val="28"/>
          <w:lang w:eastAsia="en-US"/>
        </w:rPr>
        <w:t>калийсберегающими</w:t>
      </w:r>
      <w:proofErr w:type="gramEnd"/>
      <w:r w:rsidRPr="008010A3">
        <w:rPr>
          <w:rFonts w:eastAsia="Calibri"/>
          <w:szCs w:val="28"/>
          <w:lang w:eastAsia="en-US"/>
        </w:rPr>
        <w:t xml:space="preserve"> диуретиками целесообразна у некоторых пациентов, однако при этом не исключается возможность развития гипокалиемии или гиперкалиемии (особенно у пациентов с почечной недостаточностью или у пациентов с сахарным диабетом). </w:t>
      </w:r>
    </w:p>
    <w:p w:rsidR="000F3052"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Необходимо контролировать уровень калия в плазме крови, показатели ЭКГ и, при необходимости, корректировать терапию.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lastRenderedPageBreak/>
        <w:t xml:space="preserve">- </w:t>
      </w:r>
      <w:proofErr w:type="spellStart"/>
      <w:r w:rsidRPr="00D13D31">
        <w:rPr>
          <w:rFonts w:eastAsia="Calibri"/>
          <w:i/>
          <w:szCs w:val="28"/>
          <w:lang w:eastAsia="en-US"/>
        </w:rPr>
        <w:t>Метформин</w:t>
      </w:r>
      <w:proofErr w:type="spellEnd"/>
      <w:r w:rsidRPr="00D13D31">
        <w:rPr>
          <w:rFonts w:eastAsia="Calibri"/>
          <w: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Функциональная почечная недостаточность, которая может возникать на фоне приема диуретиков, особенно </w:t>
      </w:r>
      <w:proofErr w:type="gramStart"/>
      <w:r w:rsidRPr="008010A3">
        <w:rPr>
          <w:rFonts w:eastAsia="Calibri"/>
          <w:szCs w:val="28"/>
          <w:lang w:eastAsia="en-US"/>
        </w:rPr>
        <w:t>петлевых</w:t>
      </w:r>
      <w:proofErr w:type="gramEnd"/>
      <w:r w:rsidRPr="008010A3">
        <w:rPr>
          <w:rFonts w:eastAsia="Calibri"/>
          <w:szCs w:val="28"/>
          <w:lang w:eastAsia="en-US"/>
        </w:rPr>
        <w:t xml:space="preserve">, повышает риск развития индуцированного </w:t>
      </w:r>
      <w:proofErr w:type="spellStart"/>
      <w:r w:rsidRPr="008010A3">
        <w:rPr>
          <w:rFonts w:eastAsia="Calibri"/>
          <w:szCs w:val="28"/>
          <w:lang w:eastAsia="en-US"/>
        </w:rPr>
        <w:t>метформином</w:t>
      </w:r>
      <w:proofErr w:type="spellEnd"/>
      <w:r w:rsidRPr="008010A3">
        <w:rPr>
          <w:rFonts w:eastAsia="Calibri"/>
          <w:szCs w:val="28"/>
          <w:lang w:eastAsia="en-US"/>
        </w:rPr>
        <w:t xml:space="preserve"> молочнокислого ацидоза.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Не следует использовать </w:t>
      </w:r>
      <w:proofErr w:type="spellStart"/>
      <w:r w:rsidRPr="008010A3">
        <w:rPr>
          <w:rFonts w:eastAsia="Calibri"/>
          <w:szCs w:val="28"/>
          <w:lang w:eastAsia="en-US"/>
        </w:rPr>
        <w:t>метформин</w:t>
      </w:r>
      <w:proofErr w:type="spellEnd"/>
      <w:r w:rsidRPr="008010A3">
        <w:rPr>
          <w:rFonts w:eastAsia="Calibri"/>
          <w:szCs w:val="28"/>
          <w:lang w:eastAsia="en-US"/>
        </w:rPr>
        <w:t xml:space="preserve">, если уровень </w:t>
      </w:r>
      <w:proofErr w:type="spellStart"/>
      <w:r w:rsidRPr="008010A3">
        <w:rPr>
          <w:rFonts w:eastAsia="Calibri"/>
          <w:szCs w:val="28"/>
          <w:lang w:eastAsia="en-US"/>
        </w:rPr>
        <w:t>креатинина</w:t>
      </w:r>
      <w:proofErr w:type="spellEnd"/>
      <w:r w:rsidRPr="008010A3">
        <w:rPr>
          <w:rFonts w:eastAsia="Calibri"/>
          <w:szCs w:val="28"/>
          <w:lang w:eastAsia="en-US"/>
        </w:rPr>
        <w:t xml:space="preserve"> превышает 15 мг/л (135 </w:t>
      </w:r>
      <w:proofErr w:type="spellStart"/>
      <w:r w:rsidRPr="008010A3">
        <w:rPr>
          <w:rFonts w:eastAsia="Calibri"/>
          <w:szCs w:val="28"/>
          <w:lang w:eastAsia="en-US"/>
        </w:rPr>
        <w:t>мкмоль</w:t>
      </w:r>
      <w:proofErr w:type="spellEnd"/>
      <w:r w:rsidRPr="008010A3">
        <w:rPr>
          <w:rFonts w:eastAsia="Calibri"/>
          <w:szCs w:val="28"/>
          <w:lang w:eastAsia="en-US"/>
        </w:rPr>
        <w:t xml:space="preserve">/л) у мужчин и 12 мг/л (110 </w:t>
      </w:r>
      <w:proofErr w:type="spellStart"/>
      <w:r w:rsidRPr="008010A3">
        <w:rPr>
          <w:rFonts w:eastAsia="Calibri"/>
          <w:szCs w:val="28"/>
          <w:lang w:eastAsia="en-US"/>
        </w:rPr>
        <w:t>мкмоль</w:t>
      </w:r>
      <w:proofErr w:type="spellEnd"/>
      <w:r w:rsidRPr="008010A3">
        <w:rPr>
          <w:rFonts w:eastAsia="Calibri"/>
          <w:szCs w:val="28"/>
          <w:lang w:eastAsia="en-US"/>
        </w:rPr>
        <w:t xml:space="preserve">/л) у женщин.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xml:space="preserve">- </w:t>
      </w:r>
      <w:r w:rsidR="009B3BB3">
        <w:rPr>
          <w:rFonts w:eastAsia="Calibri"/>
          <w:i/>
          <w:szCs w:val="28"/>
          <w:lang w:eastAsia="en-US"/>
        </w:rPr>
        <w:t>Й</w:t>
      </w:r>
      <w:r w:rsidRPr="00D13D31">
        <w:rPr>
          <w:rFonts w:eastAsia="Calibri"/>
          <w:i/>
          <w:szCs w:val="28"/>
          <w:lang w:eastAsia="en-US"/>
        </w:rPr>
        <w:t xml:space="preserve">одсодержащие контрастные вещества: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В случае обезвоживания организма на фоне приема диуретических препаратов увеличивается риск развития острой почечной недостаточности, особенно при использовании высоких доз йодсодержащих контрастных веществ.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Перед применением йодсодержащих контрастных веществ пациентам необходимо компенсировать потерю жидкости. </w:t>
      </w:r>
    </w:p>
    <w:p w:rsidR="0062071C" w:rsidRPr="00D13D31" w:rsidRDefault="008010A3" w:rsidP="008010A3">
      <w:pPr>
        <w:pStyle w:val="a7"/>
        <w:spacing w:line="360" w:lineRule="auto"/>
        <w:jc w:val="both"/>
        <w:rPr>
          <w:rFonts w:eastAsia="Calibri"/>
          <w:szCs w:val="28"/>
          <w:lang w:eastAsia="en-US"/>
        </w:rPr>
      </w:pPr>
      <w:r w:rsidRPr="00D13D31">
        <w:rPr>
          <w:rFonts w:eastAsia="Calibri"/>
          <w:i/>
          <w:szCs w:val="28"/>
          <w:lang w:eastAsia="en-US"/>
        </w:rPr>
        <w:t>- Трициклические антидепрессанты, нейролептики:</w:t>
      </w:r>
      <w:r w:rsidRPr="00D13D31">
        <w:rPr>
          <w:rFonts w:eastAsia="Calibri"/>
          <w:szCs w:val="28"/>
          <w:lang w:eastAsia="en-US"/>
        </w:rPr>
        <w:t xml:space="preserve"> </w:t>
      </w:r>
    </w:p>
    <w:p w:rsidR="0062071C"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Препараты этих классов усиливают </w:t>
      </w:r>
      <w:proofErr w:type="spellStart"/>
      <w:r w:rsidRPr="008010A3">
        <w:rPr>
          <w:rFonts w:eastAsia="Calibri"/>
          <w:szCs w:val="28"/>
          <w:lang w:eastAsia="en-US"/>
        </w:rPr>
        <w:t>антигипертензивное</w:t>
      </w:r>
      <w:proofErr w:type="spellEnd"/>
      <w:r w:rsidRPr="008010A3">
        <w:rPr>
          <w:rFonts w:eastAsia="Calibri"/>
          <w:szCs w:val="28"/>
          <w:lang w:eastAsia="en-US"/>
        </w:rPr>
        <w:t xml:space="preserve"> действие </w:t>
      </w:r>
      <w:proofErr w:type="spellStart"/>
      <w:r w:rsidRPr="008010A3">
        <w:rPr>
          <w:rFonts w:eastAsia="Calibri"/>
          <w:szCs w:val="28"/>
          <w:lang w:eastAsia="en-US"/>
        </w:rPr>
        <w:t>индапамида</w:t>
      </w:r>
      <w:proofErr w:type="spellEnd"/>
      <w:r w:rsidRPr="008010A3">
        <w:rPr>
          <w:rFonts w:eastAsia="Calibri"/>
          <w:szCs w:val="28"/>
          <w:lang w:eastAsia="en-US"/>
        </w:rPr>
        <w:t xml:space="preserve"> и увеличивают риск развития ортостатической гипотензии (аддитивный эффект).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xml:space="preserve">- Кальций (соли):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При одновременном применении возможно развитие </w:t>
      </w:r>
      <w:proofErr w:type="spellStart"/>
      <w:r w:rsidRPr="008010A3">
        <w:rPr>
          <w:rFonts w:eastAsia="Calibri"/>
          <w:szCs w:val="28"/>
          <w:lang w:eastAsia="en-US"/>
        </w:rPr>
        <w:t>гиперкальциемии</w:t>
      </w:r>
      <w:proofErr w:type="spellEnd"/>
      <w:r w:rsidRPr="008010A3">
        <w:rPr>
          <w:rFonts w:eastAsia="Calibri"/>
          <w:szCs w:val="28"/>
          <w:lang w:eastAsia="en-US"/>
        </w:rPr>
        <w:t xml:space="preserve"> вследствие снижения </w:t>
      </w:r>
      <w:r w:rsidR="0062071C">
        <w:rPr>
          <w:rFonts w:eastAsia="Calibri"/>
          <w:szCs w:val="28"/>
          <w:lang w:eastAsia="en-US"/>
        </w:rPr>
        <w:t>в</w:t>
      </w:r>
      <w:r w:rsidRPr="008010A3">
        <w:rPr>
          <w:rFonts w:eastAsia="Calibri"/>
          <w:szCs w:val="28"/>
          <w:lang w:eastAsia="en-US"/>
        </w:rPr>
        <w:t xml:space="preserve">ыведения ионов кальция почками. </w:t>
      </w:r>
    </w:p>
    <w:p w:rsidR="008010A3" w:rsidRPr="00D13D31" w:rsidRDefault="008010A3" w:rsidP="008010A3">
      <w:pPr>
        <w:pStyle w:val="a7"/>
        <w:spacing w:line="360" w:lineRule="auto"/>
        <w:jc w:val="both"/>
        <w:rPr>
          <w:rFonts w:eastAsia="Calibri"/>
          <w:i/>
          <w:szCs w:val="28"/>
          <w:lang w:eastAsia="en-US"/>
        </w:rPr>
      </w:pPr>
      <w:r w:rsidRPr="00D13D31">
        <w:rPr>
          <w:rFonts w:eastAsia="Calibri"/>
          <w:i/>
          <w:szCs w:val="28"/>
          <w:lang w:eastAsia="en-US"/>
        </w:rPr>
        <w:t xml:space="preserve">- </w:t>
      </w:r>
      <w:proofErr w:type="spellStart"/>
      <w:r w:rsidRPr="00D13D31">
        <w:rPr>
          <w:rFonts w:eastAsia="Calibri"/>
          <w:i/>
          <w:szCs w:val="28"/>
          <w:lang w:eastAsia="en-US"/>
        </w:rPr>
        <w:t>Циклоспорин</w:t>
      </w:r>
      <w:proofErr w:type="spellEnd"/>
      <w:r w:rsidRPr="00D13D31">
        <w:rPr>
          <w:rFonts w:eastAsia="Calibri"/>
          <w:i/>
          <w:szCs w:val="28"/>
          <w:lang w:eastAsia="en-US"/>
        </w:rPr>
        <w:t xml:space="preserve">, </w:t>
      </w:r>
      <w:proofErr w:type="spellStart"/>
      <w:r w:rsidRPr="00D13D31">
        <w:rPr>
          <w:rFonts w:eastAsia="Calibri"/>
          <w:i/>
          <w:szCs w:val="28"/>
          <w:lang w:eastAsia="en-US"/>
        </w:rPr>
        <w:t>такролимус</w:t>
      </w:r>
      <w:proofErr w:type="spellEnd"/>
      <w:r w:rsidRPr="00D13D31">
        <w:rPr>
          <w:rFonts w:eastAsia="Calibri"/>
          <w:i/>
          <w:szCs w:val="28"/>
          <w:lang w:eastAsia="en-US"/>
        </w:rPr>
        <w:t xml:space="preserve">: </w:t>
      </w:r>
    </w:p>
    <w:p w:rsidR="008010A3" w:rsidRPr="008010A3"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Возможно увеличение концентрации креатинина в плазме крови без изменения </w:t>
      </w:r>
      <w:proofErr w:type="gramStart"/>
      <w:r w:rsidRPr="008010A3">
        <w:rPr>
          <w:rFonts w:eastAsia="Calibri"/>
          <w:szCs w:val="28"/>
          <w:lang w:eastAsia="en-US"/>
        </w:rPr>
        <w:t>концентрации</w:t>
      </w:r>
      <w:proofErr w:type="gramEnd"/>
      <w:r w:rsidRPr="008010A3">
        <w:rPr>
          <w:rFonts w:eastAsia="Calibri"/>
          <w:szCs w:val="28"/>
          <w:lang w:eastAsia="en-US"/>
        </w:rPr>
        <w:t xml:space="preserve"> циркулирующего </w:t>
      </w:r>
      <w:proofErr w:type="spellStart"/>
      <w:r w:rsidRPr="008010A3">
        <w:rPr>
          <w:rFonts w:eastAsia="Calibri"/>
          <w:szCs w:val="28"/>
          <w:lang w:eastAsia="en-US"/>
        </w:rPr>
        <w:t>циклоспорина</w:t>
      </w:r>
      <w:proofErr w:type="spellEnd"/>
      <w:r w:rsidRPr="008010A3">
        <w:rPr>
          <w:rFonts w:eastAsia="Calibri"/>
          <w:szCs w:val="28"/>
          <w:lang w:eastAsia="en-US"/>
        </w:rPr>
        <w:t xml:space="preserve">, даже при отсутствии потери воды и ионов натрия. </w:t>
      </w:r>
    </w:p>
    <w:p w:rsidR="008010A3" w:rsidRPr="00D13D31" w:rsidRDefault="0062071C" w:rsidP="008010A3">
      <w:pPr>
        <w:pStyle w:val="a7"/>
        <w:spacing w:line="360" w:lineRule="auto"/>
        <w:jc w:val="both"/>
        <w:rPr>
          <w:rFonts w:eastAsia="Calibri"/>
          <w:i/>
          <w:szCs w:val="28"/>
          <w:lang w:eastAsia="en-US"/>
        </w:rPr>
      </w:pPr>
      <w:r w:rsidRPr="00D13D31">
        <w:rPr>
          <w:rFonts w:eastAsia="Calibri"/>
          <w:i/>
          <w:szCs w:val="28"/>
          <w:lang w:eastAsia="en-US"/>
        </w:rPr>
        <w:t xml:space="preserve">- </w:t>
      </w:r>
      <w:r w:rsidR="008010A3" w:rsidRPr="00D13D31">
        <w:rPr>
          <w:rFonts w:eastAsia="Calibri"/>
          <w:i/>
          <w:szCs w:val="28"/>
          <w:lang w:eastAsia="en-US"/>
        </w:rPr>
        <w:t xml:space="preserve">Кортикостероидные препараты, </w:t>
      </w:r>
      <w:proofErr w:type="spellStart"/>
      <w:r w:rsidR="008010A3" w:rsidRPr="00D13D31">
        <w:rPr>
          <w:rFonts w:eastAsia="Calibri"/>
          <w:i/>
          <w:szCs w:val="28"/>
          <w:lang w:eastAsia="en-US"/>
        </w:rPr>
        <w:t>тетракозактид</w:t>
      </w:r>
      <w:proofErr w:type="spellEnd"/>
      <w:r w:rsidR="008010A3" w:rsidRPr="00D13D31">
        <w:rPr>
          <w:rFonts w:eastAsia="Calibri"/>
          <w:i/>
          <w:szCs w:val="28"/>
          <w:lang w:eastAsia="en-US"/>
        </w:rPr>
        <w:t xml:space="preserve"> (при системном применении): </w:t>
      </w:r>
    </w:p>
    <w:p w:rsidR="0062071C" w:rsidRDefault="008010A3" w:rsidP="008010A3">
      <w:pPr>
        <w:pStyle w:val="a7"/>
        <w:spacing w:line="360" w:lineRule="auto"/>
        <w:jc w:val="both"/>
        <w:rPr>
          <w:rFonts w:eastAsia="Calibri"/>
          <w:szCs w:val="28"/>
          <w:lang w:eastAsia="en-US"/>
        </w:rPr>
      </w:pPr>
      <w:r w:rsidRPr="008010A3">
        <w:rPr>
          <w:rFonts w:eastAsia="Calibri"/>
          <w:szCs w:val="28"/>
          <w:lang w:eastAsia="en-US"/>
        </w:rPr>
        <w:t xml:space="preserve">Снижение </w:t>
      </w:r>
      <w:proofErr w:type="spellStart"/>
      <w:r w:rsidRPr="008010A3">
        <w:rPr>
          <w:rFonts w:eastAsia="Calibri"/>
          <w:szCs w:val="28"/>
          <w:lang w:eastAsia="en-US"/>
        </w:rPr>
        <w:t>антигипертензивного</w:t>
      </w:r>
      <w:proofErr w:type="spellEnd"/>
      <w:r w:rsidRPr="008010A3">
        <w:rPr>
          <w:rFonts w:eastAsia="Calibri"/>
          <w:szCs w:val="28"/>
          <w:lang w:eastAsia="en-US"/>
        </w:rPr>
        <w:t xml:space="preserve"> действия (задержка воды и ионов натрия в результате действия кортикостероидов). </w:t>
      </w:r>
    </w:p>
    <w:p w:rsidR="00004F6D" w:rsidRPr="0062071C" w:rsidRDefault="00997DD8" w:rsidP="008010A3">
      <w:pPr>
        <w:pStyle w:val="a7"/>
        <w:spacing w:line="360" w:lineRule="auto"/>
        <w:jc w:val="both"/>
        <w:rPr>
          <w:rFonts w:eastAsia="Calibri"/>
          <w:szCs w:val="28"/>
          <w:lang w:eastAsia="en-US"/>
        </w:rPr>
      </w:pPr>
      <w:r>
        <w:rPr>
          <w:b/>
        </w:rPr>
        <w:t>О</w:t>
      </w:r>
      <w:r w:rsidRPr="009C7545">
        <w:rPr>
          <w:b/>
        </w:rPr>
        <w:t>собые указания</w:t>
      </w:r>
    </w:p>
    <w:p w:rsidR="000858E9" w:rsidRPr="008A3EFC" w:rsidRDefault="000858E9" w:rsidP="000858E9">
      <w:pPr>
        <w:pStyle w:val="a7"/>
        <w:spacing w:line="360" w:lineRule="auto"/>
        <w:jc w:val="both"/>
        <w:rPr>
          <w:i/>
        </w:rPr>
      </w:pPr>
      <w:r w:rsidRPr="008A3EFC">
        <w:rPr>
          <w:i/>
        </w:rPr>
        <w:t xml:space="preserve">Нарушения функции печени </w:t>
      </w:r>
    </w:p>
    <w:p w:rsidR="000858E9" w:rsidRDefault="000858E9" w:rsidP="000858E9">
      <w:pPr>
        <w:pStyle w:val="a7"/>
        <w:spacing w:line="360" w:lineRule="auto"/>
        <w:jc w:val="both"/>
      </w:pPr>
      <w:r>
        <w:t xml:space="preserve">При назначении </w:t>
      </w:r>
      <w:proofErr w:type="spellStart"/>
      <w:r>
        <w:t>тиазидных</w:t>
      </w:r>
      <w:proofErr w:type="spellEnd"/>
      <w:r>
        <w:t xml:space="preserve"> и </w:t>
      </w:r>
      <w:proofErr w:type="spellStart"/>
      <w:r>
        <w:t>тиазидоподобных</w:t>
      </w:r>
      <w:proofErr w:type="spellEnd"/>
      <w:r>
        <w:t xml:space="preserve"> диуретиков у пациентов с нарушениями функции печени, особенно в случае нарушения водно-</w:t>
      </w:r>
      <w:r>
        <w:lastRenderedPageBreak/>
        <w:t xml:space="preserve">электролитного баланса, возможно развитие печеночной энцефалопатии, которая может прогрессировать до печеночной комы. </w:t>
      </w:r>
    </w:p>
    <w:p w:rsidR="000858E9" w:rsidRDefault="000858E9" w:rsidP="000858E9">
      <w:pPr>
        <w:pStyle w:val="a7"/>
        <w:spacing w:line="360" w:lineRule="auto"/>
        <w:jc w:val="both"/>
      </w:pPr>
      <w:r>
        <w:t xml:space="preserve">В этом случае прием диуретиков следует немедленно прекратить. </w:t>
      </w:r>
    </w:p>
    <w:p w:rsidR="000858E9" w:rsidRPr="008A3EFC" w:rsidRDefault="000858E9" w:rsidP="000858E9">
      <w:pPr>
        <w:pStyle w:val="a7"/>
        <w:spacing w:line="360" w:lineRule="auto"/>
        <w:jc w:val="both"/>
        <w:rPr>
          <w:i/>
        </w:rPr>
      </w:pPr>
      <w:r w:rsidRPr="008A3EFC">
        <w:rPr>
          <w:i/>
        </w:rPr>
        <w:t xml:space="preserve">Реакции фоточувствительности </w:t>
      </w:r>
    </w:p>
    <w:p w:rsidR="000858E9" w:rsidRDefault="000858E9" w:rsidP="000858E9">
      <w:pPr>
        <w:pStyle w:val="a7"/>
        <w:spacing w:line="360" w:lineRule="auto"/>
        <w:jc w:val="both"/>
      </w:pPr>
      <w:r>
        <w:t xml:space="preserve">Сообщалось о случаях развития реакций фоточувствительности на фоне приема </w:t>
      </w:r>
      <w:proofErr w:type="spellStart"/>
      <w:r>
        <w:t>тиазидных</w:t>
      </w:r>
      <w:proofErr w:type="spellEnd"/>
      <w:r>
        <w:t xml:space="preserve"> и </w:t>
      </w:r>
      <w:proofErr w:type="spellStart"/>
      <w:r>
        <w:t>тиазидоподобных</w:t>
      </w:r>
      <w:proofErr w:type="spellEnd"/>
      <w:r>
        <w:t xml:space="preserve"> диуретиков (см. раздел «Побочное действие»). В случае развития реакций фоточувствительности на фоне приема лекарственного препарата рекомендуется прекратить лечение. Если повторное назначение диуретика признано необходимым, рекомендуется защищать открытые участки от солнечных лучей или искусственных ультрафиолетовых лучей типа А. </w:t>
      </w:r>
    </w:p>
    <w:p w:rsidR="000858E9" w:rsidRPr="008A3EFC" w:rsidRDefault="000858E9" w:rsidP="000858E9">
      <w:pPr>
        <w:pStyle w:val="a7"/>
        <w:spacing w:line="360" w:lineRule="auto"/>
        <w:jc w:val="both"/>
        <w:rPr>
          <w:i/>
        </w:rPr>
      </w:pPr>
      <w:r w:rsidRPr="008A3EFC">
        <w:rPr>
          <w:i/>
        </w:rPr>
        <w:t xml:space="preserve">Водно-электролитный баланс </w:t>
      </w:r>
    </w:p>
    <w:p w:rsidR="000858E9" w:rsidRPr="000858E9" w:rsidRDefault="000858E9" w:rsidP="000858E9">
      <w:pPr>
        <w:pStyle w:val="a7"/>
        <w:spacing w:line="360" w:lineRule="auto"/>
        <w:jc w:val="both"/>
        <w:rPr>
          <w:i/>
        </w:rPr>
      </w:pPr>
      <w:r w:rsidRPr="000858E9">
        <w:rPr>
          <w:i/>
        </w:rPr>
        <w:t xml:space="preserve">- Содержание ионов натрия в плазме крови: </w:t>
      </w:r>
    </w:p>
    <w:p w:rsidR="000858E9" w:rsidRDefault="000858E9" w:rsidP="000858E9">
      <w:pPr>
        <w:pStyle w:val="a7"/>
        <w:spacing w:line="360" w:lineRule="auto"/>
        <w:jc w:val="both"/>
      </w:pPr>
      <w:r>
        <w:t>До начала лечения необходимо определить концентрацию ионов натрия в плазме крови. На фоне приема препарата следует регулярно контролировать этот показатель. Необходим постоянный контроль концентрац</w:t>
      </w:r>
      <w:proofErr w:type="gramStart"/>
      <w:r>
        <w:t>ии ио</w:t>
      </w:r>
      <w:proofErr w:type="gramEnd"/>
      <w:r>
        <w:t>нов натрия, так как первоначально снижение концентрации ионов натрия в плазме крови может быть бессимптомным. Более частый контроль концентрац</w:t>
      </w:r>
      <w:proofErr w:type="gramStart"/>
      <w:r>
        <w:t>ии ио</w:t>
      </w:r>
      <w:proofErr w:type="gramEnd"/>
      <w:r>
        <w:t xml:space="preserve">нов натрия показан пациентам с циррозом печени и лицам пожилого возраста (см. разделы «Побочное действие» и «Передозировка»). </w:t>
      </w:r>
    </w:p>
    <w:p w:rsidR="000858E9" w:rsidRDefault="000858E9" w:rsidP="000858E9">
      <w:pPr>
        <w:pStyle w:val="a7"/>
        <w:spacing w:line="360" w:lineRule="auto"/>
        <w:jc w:val="both"/>
      </w:pPr>
      <w:r>
        <w:t xml:space="preserve">Любой диуретический препарат может вызывать гипонатриемию, </w:t>
      </w:r>
      <w:proofErr w:type="gramStart"/>
      <w:r>
        <w:t>приводящую</w:t>
      </w:r>
      <w:proofErr w:type="gramEnd"/>
      <w:r>
        <w:t xml:space="preserve"> иногда к крайне тяжелым последствиям. </w:t>
      </w:r>
    </w:p>
    <w:p w:rsidR="000858E9" w:rsidRDefault="000858E9" w:rsidP="000858E9">
      <w:pPr>
        <w:pStyle w:val="a7"/>
        <w:spacing w:line="360" w:lineRule="auto"/>
        <w:jc w:val="both"/>
      </w:pPr>
      <w:r>
        <w:t xml:space="preserve">Гипонатриемия в сочетании с </w:t>
      </w:r>
      <w:proofErr w:type="spellStart"/>
      <w:r>
        <w:t>гиповолемией</w:t>
      </w:r>
      <w:proofErr w:type="spellEnd"/>
      <w:r>
        <w:t xml:space="preserve"> могут быть причиной обезвоживания и ортостатической гипотензии. </w:t>
      </w:r>
    </w:p>
    <w:p w:rsidR="000858E9" w:rsidRDefault="000858E9" w:rsidP="000858E9">
      <w:pPr>
        <w:pStyle w:val="a7"/>
        <w:spacing w:line="360" w:lineRule="auto"/>
        <w:jc w:val="both"/>
      </w:pPr>
      <w:r>
        <w:t>Сопутствующее снижение концентрац</w:t>
      </w:r>
      <w:proofErr w:type="gramStart"/>
      <w:r>
        <w:t>ии ио</w:t>
      </w:r>
      <w:proofErr w:type="gramEnd"/>
      <w:r>
        <w:t xml:space="preserve">нов хлора в плазме крови может приводить к вторичному компенсаторному метаболическому алкалозу: частота развития и степень выраженности этого эффекта незначительны. </w:t>
      </w:r>
    </w:p>
    <w:p w:rsidR="000858E9" w:rsidRPr="000858E9" w:rsidRDefault="000858E9" w:rsidP="000858E9">
      <w:pPr>
        <w:pStyle w:val="a7"/>
        <w:spacing w:line="360" w:lineRule="auto"/>
        <w:jc w:val="both"/>
        <w:rPr>
          <w:i/>
        </w:rPr>
      </w:pPr>
      <w:r w:rsidRPr="000858E9">
        <w:rPr>
          <w:i/>
        </w:rPr>
        <w:t xml:space="preserve">- Содержание ионов калия в плазме крови: </w:t>
      </w:r>
    </w:p>
    <w:p w:rsidR="000858E9" w:rsidRDefault="000858E9" w:rsidP="000858E9">
      <w:pPr>
        <w:pStyle w:val="a7"/>
        <w:spacing w:line="360" w:lineRule="auto"/>
        <w:jc w:val="both"/>
      </w:pPr>
      <w:r>
        <w:t xml:space="preserve">При терапии </w:t>
      </w:r>
      <w:proofErr w:type="spellStart"/>
      <w:r>
        <w:t>тиазидными</w:t>
      </w:r>
      <w:proofErr w:type="spellEnd"/>
      <w:r>
        <w:t xml:space="preserve"> и </w:t>
      </w:r>
      <w:proofErr w:type="spellStart"/>
      <w:r>
        <w:t>тиазидоподобными</w:t>
      </w:r>
      <w:proofErr w:type="spellEnd"/>
      <w:r>
        <w:t xml:space="preserve"> диуретиками основной риск заключается в снижении концентрации калия в плазме крови и развитии </w:t>
      </w:r>
      <w:r>
        <w:lastRenderedPageBreak/>
        <w:t xml:space="preserve">гипокалиемии. Необходимо предотвращать развитие </w:t>
      </w:r>
      <w:proofErr w:type="spellStart"/>
      <w:r>
        <w:t>гипокалиемии</w:t>
      </w:r>
      <w:proofErr w:type="spellEnd"/>
      <w:r>
        <w:t xml:space="preserve"> (&lt; 3,4 </w:t>
      </w:r>
      <w:proofErr w:type="spellStart"/>
      <w:r>
        <w:t>ммоль</w:t>
      </w:r>
      <w:proofErr w:type="spellEnd"/>
      <w:r>
        <w:t xml:space="preserve">/л) у пациентов группы повышенного риска: пациентов пожилого возраста, истощённых и/или получающих сочетанную медикаментозную терапию, пациентов с циррозом печени, периферическими отеками и асцитом, пациентов с ишемической болезнью сердца и сердечной недостаточностью. </w:t>
      </w:r>
    </w:p>
    <w:p w:rsidR="000858E9" w:rsidRDefault="000858E9" w:rsidP="000858E9">
      <w:pPr>
        <w:pStyle w:val="a7"/>
        <w:spacing w:line="360" w:lineRule="auto"/>
        <w:jc w:val="both"/>
      </w:pPr>
      <w:r>
        <w:t xml:space="preserve">Гипокалиемия у этих пациентов усиливает </w:t>
      </w:r>
      <w:proofErr w:type="spellStart"/>
      <w:r>
        <w:t>кардиотоксичность</w:t>
      </w:r>
      <w:proofErr w:type="spellEnd"/>
      <w:r>
        <w:t xml:space="preserve"> сердечных гликозидов и повышает риск развития аритмии. </w:t>
      </w:r>
    </w:p>
    <w:p w:rsidR="000858E9" w:rsidRDefault="000858E9" w:rsidP="000858E9">
      <w:pPr>
        <w:pStyle w:val="a7"/>
        <w:spacing w:line="360" w:lineRule="auto"/>
        <w:jc w:val="both"/>
      </w:pPr>
      <w:r>
        <w:t xml:space="preserve">Пациенты с увеличенным интервалом QT, как врожденным, так и вызванным </w:t>
      </w:r>
    </w:p>
    <w:p w:rsidR="000858E9" w:rsidRDefault="000858E9" w:rsidP="000858E9">
      <w:pPr>
        <w:pStyle w:val="a7"/>
        <w:spacing w:line="360" w:lineRule="auto"/>
        <w:jc w:val="both"/>
      </w:pPr>
      <w:r>
        <w:t xml:space="preserve">лекарственными препаратами относятся к группе риска. </w:t>
      </w:r>
    </w:p>
    <w:p w:rsidR="000858E9" w:rsidRDefault="000858E9" w:rsidP="000858E9">
      <w:pPr>
        <w:pStyle w:val="a7"/>
        <w:spacing w:line="360" w:lineRule="auto"/>
        <w:jc w:val="both"/>
      </w:pPr>
      <w:r>
        <w:t xml:space="preserve">Гипокалиемия, также как и брадикардия, является состоянием, способствующим развитию тяжелой аритмии, в частности, полиморфной желудочковой тахикардии типа </w:t>
      </w:r>
      <w:r w:rsidR="008A3EFC">
        <w:t>«</w:t>
      </w:r>
      <w:r>
        <w:t>пируэт</w:t>
      </w:r>
      <w:r w:rsidR="008A3EFC">
        <w:t>»</w:t>
      </w:r>
      <w:r>
        <w:t xml:space="preserve">, которая может приводить к летальному исходу. </w:t>
      </w:r>
    </w:p>
    <w:p w:rsidR="000858E9" w:rsidRDefault="000858E9" w:rsidP="000858E9">
      <w:pPr>
        <w:pStyle w:val="a7"/>
        <w:spacing w:line="360" w:lineRule="auto"/>
        <w:jc w:val="both"/>
      </w:pPr>
      <w:r>
        <w:t>Во всех описанных выше случаях необходимо контролировать концентрацию калия в плазме крови, более часто, чем обычно. Первое измерение концентрац</w:t>
      </w:r>
      <w:proofErr w:type="gramStart"/>
      <w:r>
        <w:t>ии ио</w:t>
      </w:r>
      <w:proofErr w:type="gramEnd"/>
      <w:r>
        <w:t xml:space="preserve">нов калия в крови необходимо провести в течение первой недели от начала лечения. </w:t>
      </w:r>
    </w:p>
    <w:p w:rsidR="000858E9" w:rsidRDefault="000858E9" w:rsidP="000858E9">
      <w:pPr>
        <w:pStyle w:val="a7"/>
        <w:spacing w:line="360" w:lineRule="auto"/>
        <w:jc w:val="both"/>
      </w:pPr>
      <w:r>
        <w:t xml:space="preserve">При появлении гипокалиемии должно быть назначено соответствующее лечение. </w:t>
      </w:r>
    </w:p>
    <w:p w:rsidR="000858E9" w:rsidRPr="000858E9" w:rsidRDefault="000858E9" w:rsidP="000858E9">
      <w:pPr>
        <w:pStyle w:val="a7"/>
        <w:spacing w:line="360" w:lineRule="auto"/>
        <w:jc w:val="both"/>
        <w:rPr>
          <w:i/>
        </w:rPr>
      </w:pPr>
      <w:r w:rsidRPr="000858E9">
        <w:rPr>
          <w:i/>
        </w:rPr>
        <w:t xml:space="preserve">- Содержание кальция в плазме крови: </w:t>
      </w:r>
    </w:p>
    <w:p w:rsidR="007D4544" w:rsidRDefault="000858E9" w:rsidP="000858E9">
      <w:pPr>
        <w:pStyle w:val="a7"/>
        <w:spacing w:line="360" w:lineRule="auto"/>
        <w:jc w:val="both"/>
      </w:pPr>
      <w:proofErr w:type="spellStart"/>
      <w:r>
        <w:t>Тиазидные</w:t>
      </w:r>
      <w:proofErr w:type="spellEnd"/>
      <w:r>
        <w:t xml:space="preserve"> и </w:t>
      </w:r>
      <w:proofErr w:type="spellStart"/>
      <w:r>
        <w:t>тиазидоподобные</w:t>
      </w:r>
      <w:proofErr w:type="spellEnd"/>
      <w:r>
        <w:t xml:space="preserve"> диуретики могут уменьша</w:t>
      </w:r>
      <w:r w:rsidR="007D4544">
        <w:t xml:space="preserve">ть выведение кальция почками и </w:t>
      </w:r>
      <w:r>
        <w:t xml:space="preserve">приводить к незначительному и временному повышению концентрации кальция в плазме крови. </w:t>
      </w:r>
      <w:proofErr w:type="gramStart"/>
      <w:r>
        <w:t>Истинная</w:t>
      </w:r>
      <w:proofErr w:type="gramEnd"/>
      <w:r>
        <w:t xml:space="preserve"> гиперкальциемия может быть следствием ранее не диагностированного </w:t>
      </w:r>
      <w:proofErr w:type="spellStart"/>
      <w:r>
        <w:t>гиперпаратиреоза</w:t>
      </w:r>
      <w:proofErr w:type="spellEnd"/>
      <w:r>
        <w:t xml:space="preserve">. </w:t>
      </w:r>
    </w:p>
    <w:p w:rsidR="000858E9" w:rsidRDefault="000858E9" w:rsidP="000858E9">
      <w:pPr>
        <w:pStyle w:val="a7"/>
        <w:spacing w:line="360" w:lineRule="auto"/>
        <w:jc w:val="both"/>
      </w:pPr>
      <w:r>
        <w:t xml:space="preserve">Следует прекратить прием диуретических препаратов перед исследованием функции паращитовидных желез. </w:t>
      </w:r>
    </w:p>
    <w:p w:rsidR="000858E9" w:rsidRPr="008A3EFC" w:rsidRDefault="000858E9" w:rsidP="000858E9">
      <w:pPr>
        <w:pStyle w:val="a7"/>
        <w:spacing w:line="360" w:lineRule="auto"/>
        <w:jc w:val="both"/>
        <w:rPr>
          <w:i/>
        </w:rPr>
      </w:pPr>
      <w:r w:rsidRPr="008A3EFC">
        <w:rPr>
          <w:i/>
        </w:rPr>
        <w:t xml:space="preserve">Содержание глюкозы в плазме крови </w:t>
      </w:r>
    </w:p>
    <w:p w:rsidR="000858E9" w:rsidRDefault="000858E9" w:rsidP="000858E9">
      <w:pPr>
        <w:pStyle w:val="a7"/>
        <w:spacing w:line="360" w:lineRule="auto"/>
        <w:jc w:val="both"/>
      </w:pPr>
      <w:r>
        <w:t xml:space="preserve">Важно контролировать концентрацию глюкозы в крови у </w:t>
      </w:r>
      <w:r w:rsidR="00986519">
        <w:t xml:space="preserve">пациентов с сахарным диабетом, </w:t>
      </w:r>
      <w:r>
        <w:t xml:space="preserve">особенно при наличии гипокалиемии. </w:t>
      </w:r>
    </w:p>
    <w:p w:rsidR="000858E9" w:rsidRPr="008A3EFC" w:rsidRDefault="000858E9" w:rsidP="000858E9">
      <w:pPr>
        <w:pStyle w:val="a7"/>
        <w:spacing w:line="360" w:lineRule="auto"/>
        <w:jc w:val="both"/>
        <w:rPr>
          <w:i/>
        </w:rPr>
      </w:pPr>
      <w:r w:rsidRPr="008A3EFC">
        <w:rPr>
          <w:i/>
        </w:rPr>
        <w:t xml:space="preserve">Мочевая кислота </w:t>
      </w:r>
    </w:p>
    <w:p w:rsidR="000858E9" w:rsidRDefault="000858E9" w:rsidP="000858E9">
      <w:pPr>
        <w:pStyle w:val="a7"/>
        <w:spacing w:line="360" w:lineRule="auto"/>
        <w:jc w:val="both"/>
      </w:pPr>
      <w:r>
        <w:lastRenderedPageBreak/>
        <w:t xml:space="preserve">У пациентов с </w:t>
      </w:r>
      <w:proofErr w:type="spellStart"/>
      <w:r>
        <w:t>гиперурикемией</w:t>
      </w:r>
      <w:proofErr w:type="spellEnd"/>
      <w:r>
        <w:t xml:space="preserve"> может увеличиваться риск развития приступов подагры. </w:t>
      </w:r>
    </w:p>
    <w:p w:rsidR="000858E9" w:rsidRPr="008A3EFC" w:rsidRDefault="000858E9" w:rsidP="000858E9">
      <w:pPr>
        <w:pStyle w:val="a7"/>
        <w:spacing w:line="360" w:lineRule="auto"/>
        <w:jc w:val="both"/>
        <w:rPr>
          <w:i/>
        </w:rPr>
      </w:pPr>
      <w:r w:rsidRPr="008A3EFC">
        <w:rPr>
          <w:i/>
        </w:rPr>
        <w:t xml:space="preserve">Диуретические препараты и функция почек </w:t>
      </w:r>
    </w:p>
    <w:p w:rsidR="000858E9" w:rsidRDefault="000858E9" w:rsidP="000858E9">
      <w:pPr>
        <w:pStyle w:val="a7"/>
        <w:spacing w:line="360" w:lineRule="auto"/>
        <w:jc w:val="both"/>
      </w:pPr>
      <w:proofErr w:type="spellStart"/>
      <w:r>
        <w:t>Тиазидные</w:t>
      </w:r>
      <w:proofErr w:type="spellEnd"/>
      <w:r>
        <w:t xml:space="preserve"> и </w:t>
      </w:r>
      <w:proofErr w:type="spellStart"/>
      <w:r>
        <w:t>тиазидоподобные</w:t>
      </w:r>
      <w:proofErr w:type="spellEnd"/>
      <w:r>
        <w:t xml:space="preserve"> диуретики эффективны в по</w:t>
      </w:r>
      <w:r w:rsidR="00986519">
        <w:t xml:space="preserve">лной мере только у пациентов с </w:t>
      </w:r>
      <w:r>
        <w:t xml:space="preserve">нормальной или незначительно нарушенной функцией почек (содержание креатинина в плазме крови у взрослых лиц ниже 25 мг/л или 220 </w:t>
      </w:r>
      <w:proofErr w:type="spellStart"/>
      <w:r>
        <w:t>мкмоль</w:t>
      </w:r>
      <w:proofErr w:type="spellEnd"/>
      <w:r>
        <w:t xml:space="preserve">/л). У пациентов пожилого возраста нормальный уровень креатинина в плазме крови рассчитывают с учетом возраста, массы тела и пола. </w:t>
      </w:r>
    </w:p>
    <w:p w:rsidR="000858E9" w:rsidRDefault="000858E9" w:rsidP="000858E9">
      <w:pPr>
        <w:pStyle w:val="a7"/>
        <w:spacing w:line="360" w:lineRule="auto"/>
        <w:jc w:val="both"/>
      </w:pPr>
      <w:r>
        <w:t>Следует учитывать, что в начале лечения у пациен</w:t>
      </w:r>
      <w:r w:rsidR="00986519">
        <w:t xml:space="preserve">тов может наблюдаться снижение </w:t>
      </w:r>
      <w:r>
        <w:t xml:space="preserve">скорости клубочковой фильтрации, обусловленное </w:t>
      </w:r>
      <w:proofErr w:type="spellStart"/>
      <w:r>
        <w:t>гиповолемией</w:t>
      </w:r>
      <w:proofErr w:type="spellEnd"/>
      <w:r>
        <w:t xml:space="preserve">, которая, в свою очередь, вызвана потерей воды и ионов натрия на фоне приема диуретических препаратов. Как следствие, в плазме крови может увеличиваться концентрация мочевины и креатинина. Такая транзиторная функциональная почечная недостаточность </w:t>
      </w:r>
      <w:r w:rsidR="00986519">
        <w:t>не имеет клинического значения у</w:t>
      </w:r>
      <w:r>
        <w:t xml:space="preserve"> пациентов с нормальной функцией почек, однако может усугублять уже имевшуюся до начала лечения почечную недостаточность. </w:t>
      </w:r>
    </w:p>
    <w:p w:rsidR="000858E9" w:rsidRPr="008A3EFC" w:rsidRDefault="000858E9" w:rsidP="000858E9">
      <w:pPr>
        <w:pStyle w:val="a7"/>
        <w:spacing w:line="360" w:lineRule="auto"/>
        <w:jc w:val="both"/>
        <w:rPr>
          <w:i/>
        </w:rPr>
      </w:pPr>
      <w:r w:rsidRPr="008A3EFC">
        <w:rPr>
          <w:i/>
        </w:rPr>
        <w:t xml:space="preserve">Спортсмены </w:t>
      </w:r>
    </w:p>
    <w:p w:rsidR="00986519" w:rsidRDefault="000858E9" w:rsidP="000858E9">
      <w:pPr>
        <w:pStyle w:val="a7"/>
        <w:spacing w:line="360" w:lineRule="auto"/>
        <w:jc w:val="both"/>
      </w:pPr>
      <w:r>
        <w:t>Спортсменам следует обратить внимание на то, что де</w:t>
      </w:r>
      <w:r w:rsidR="00986519">
        <w:t xml:space="preserve">йствующее вещество, входящее в </w:t>
      </w:r>
      <w:r>
        <w:t>состав</w:t>
      </w:r>
      <w:r w:rsidR="00986519">
        <w:t xml:space="preserve"> лекарственного препарата ИНДАПАМИД</w:t>
      </w:r>
      <w:r>
        <w:t xml:space="preserve">, может давать положительный результат при проведении </w:t>
      </w:r>
      <w:proofErr w:type="gramStart"/>
      <w:r>
        <w:t>допинг-контроля</w:t>
      </w:r>
      <w:proofErr w:type="gramEnd"/>
      <w:r>
        <w:t xml:space="preserve">. </w:t>
      </w:r>
    </w:p>
    <w:p w:rsidR="00B67FC0" w:rsidRPr="00B77CDC" w:rsidRDefault="00B77CDC" w:rsidP="000858E9">
      <w:pPr>
        <w:pStyle w:val="a7"/>
        <w:spacing w:line="360" w:lineRule="auto"/>
        <w:jc w:val="both"/>
      </w:pPr>
      <w:r>
        <w:rPr>
          <w:b/>
          <w:szCs w:val="28"/>
        </w:rPr>
        <w:t>В</w:t>
      </w:r>
      <w:r w:rsidRPr="009C7545">
        <w:rPr>
          <w:b/>
          <w:szCs w:val="28"/>
        </w:rPr>
        <w:t>лияние на способность управлять транспортными средствами, механизмами</w:t>
      </w:r>
    </w:p>
    <w:p w:rsidR="00986519" w:rsidRDefault="00986519" w:rsidP="00986519">
      <w:pPr>
        <w:pStyle w:val="a7"/>
        <w:spacing w:line="360" w:lineRule="auto"/>
        <w:jc w:val="both"/>
        <w:rPr>
          <w:szCs w:val="28"/>
        </w:rPr>
      </w:pPr>
      <w:proofErr w:type="spellStart"/>
      <w:r w:rsidRPr="00986519">
        <w:rPr>
          <w:szCs w:val="28"/>
        </w:rPr>
        <w:t>Индапамид</w:t>
      </w:r>
      <w:proofErr w:type="spellEnd"/>
      <w:r w:rsidRPr="00986519">
        <w:rPr>
          <w:szCs w:val="28"/>
        </w:rPr>
        <w:t xml:space="preserve"> не влияет на нарушение внимания, но в некоторых случаях могут возникать реакции, связанные со снижением артериального давления, особенно в начале терапии или при добавлении к проводимой терапии других гипотензивных препаратов. В результате способность управлять автомобилем или другими механизмами может быть нарушена. </w:t>
      </w:r>
    </w:p>
    <w:p w:rsidR="004C0738" w:rsidRPr="00986519" w:rsidRDefault="00B77CDC" w:rsidP="00986519">
      <w:pPr>
        <w:pStyle w:val="a7"/>
        <w:spacing w:line="360" w:lineRule="auto"/>
        <w:jc w:val="both"/>
        <w:rPr>
          <w:szCs w:val="28"/>
        </w:rPr>
      </w:pPr>
      <w:r>
        <w:rPr>
          <w:b/>
        </w:rPr>
        <w:t>Ф</w:t>
      </w:r>
      <w:r w:rsidRPr="009C7545">
        <w:rPr>
          <w:b/>
        </w:rPr>
        <w:t>орма выпуска</w:t>
      </w:r>
    </w:p>
    <w:p w:rsidR="00E26988" w:rsidRPr="009C7545" w:rsidRDefault="002E2249" w:rsidP="003075B7">
      <w:pPr>
        <w:spacing w:line="360" w:lineRule="auto"/>
        <w:jc w:val="both"/>
        <w:rPr>
          <w:sz w:val="28"/>
          <w:szCs w:val="28"/>
        </w:rPr>
      </w:pPr>
      <w:r>
        <w:rPr>
          <w:sz w:val="28"/>
          <w:szCs w:val="28"/>
        </w:rPr>
        <w:t>Таблетки, покрытые оболочкой, 2,5</w:t>
      </w:r>
      <w:r w:rsidR="009F327E" w:rsidRPr="009C7545">
        <w:rPr>
          <w:sz w:val="28"/>
          <w:szCs w:val="28"/>
        </w:rPr>
        <w:t xml:space="preserve"> мг</w:t>
      </w:r>
      <w:r w:rsidR="009C7925">
        <w:rPr>
          <w:sz w:val="28"/>
          <w:szCs w:val="28"/>
        </w:rPr>
        <w:t>.</w:t>
      </w:r>
    </w:p>
    <w:p w:rsidR="009C7925" w:rsidRPr="00E0360E" w:rsidRDefault="009C7925" w:rsidP="009C7925">
      <w:pPr>
        <w:tabs>
          <w:tab w:val="left" w:pos="567"/>
          <w:tab w:val="left" w:pos="1134"/>
          <w:tab w:val="left" w:pos="3261"/>
        </w:tabs>
        <w:spacing w:line="360" w:lineRule="auto"/>
        <w:jc w:val="both"/>
        <w:rPr>
          <w:sz w:val="28"/>
        </w:rPr>
      </w:pPr>
      <w:r w:rsidRPr="00E0360E">
        <w:rPr>
          <w:sz w:val="28"/>
        </w:rPr>
        <w:lastRenderedPageBreak/>
        <w:t>По 10 таблеток в контурную ячейковую упаковку из пл</w:t>
      </w:r>
      <w:r w:rsidR="002E2249">
        <w:rPr>
          <w:sz w:val="28"/>
        </w:rPr>
        <w:t>енки поливинилхлоридной и</w:t>
      </w:r>
      <w:r w:rsidRPr="00E0360E">
        <w:rPr>
          <w:sz w:val="28"/>
        </w:rPr>
        <w:t xml:space="preserve"> </w:t>
      </w:r>
      <w:r w:rsidR="002E2249">
        <w:rPr>
          <w:sz w:val="28"/>
        </w:rPr>
        <w:t>фольги</w:t>
      </w:r>
      <w:r w:rsidR="00121748">
        <w:rPr>
          <w:sz w:val="28"/>
        </w:rPr>
        <w:t xml:space="preserve"> </w:t>
      </w:r>
      <w:r w:rsidR="00121748" w:rsidRPr="00121748">
        <w:rPr>
          <w:sz w:val="28"/>
        </w:rPr>
        <w:t>алюминиевой</w:t>
      </w:r>
      <w:r w:rsidR="00121748">
        <w:rPr>
          <w:sz w:val="28"/>
        </w:rPr>
        <w:t xml:space="preserve"> печатной лакированной</w:t>
      </w:r>
      <w:r w:rsidR="002E2249">
        <w:rPr>
          <w:sz w:val="28"/>
        </w:rPr>
        <w:t>.</w:t>
      </w:r>
    </w:p>
    <w:p w:rsidR="009C7925" w:rsidRPr="00845665" w:rsidRDefault="002E2249" w:rsidP="00845665">
      <w:pPr>
        <w:pStyle w:val="a7"/>
        <w:spacing w:line="360" w:lineRule="auto"/>
        <w:jc w:val="both"/>
        <w:rPr>
          <w:sz w:val="32"/>
        </w:rPr>
      </w:pPr>
      <w:r>
        <w:t xml:space="preserve">1, 2, 3, 4, 5 </w:t>
      </w:r>
      <w:r w:rsidR="009C7925" w:rsidRPr="00E0360E">
        <w:t xml:space="preserve">контурных ячейковых упаковок вместе с инструкцией по применению помещают в пачку из </w:t>
      </w:r>
      <w:r w:rsidR="009C7925">
        <w:t>картона.</w:t>
      </w:r>
    </w:p>
    <w:p w:rsidR="004C0738" w:rsidRPr="009C7545" w:rsidRDefault="00B77CDC" w:rsidP="003075B7">
      <w:pPr>
        <w:spacing w:line="360" w:lineRule="auto"/>
        <w:jc w:val="both"/>
        <w:rPr>
          <w:b/>
          <w:sz w:val="28"/>
        </w:rPr>
      </w:pPr>
      <w:r>
        <w:rPr>
          <w:b/>
          <w:sz w:val="28"/>
        </w:rPr>
        <w:t>У</w:t>
      </w:r>
      <w:r w:rsidRPr="009C7545">
        <w:rPr>
          <w:b/>
          <w:sz w:val="28"/>
        </w:rPr>
        <w:t>словия хранения</w:t>
      </w:r>
    </w:p>
    <w:p w:rsidR="009F327E" w:rsidRPr="009C7545" w:rsidRDefault="009F327E" w:rsidP="003075B7">
      <w:pPr>
        <w:spacing w:line="360" w:lineRule="auto"/>
        <w:ind w:right="-426"/>
        <w:jc w:val="both"/>
        <w:rPr>
          <w:sz w:val="28"/>
        </w:rPr>
      </w:pPr>
      <w:r w:rsidRPr="009C7545">
        <w:rPr>
          <w:sz w:val="28"/>
        </w:rPr>
        <w:t xml:space="preserve">В </w:t>
      </w:r>
      <w:r w:rsidR="002E2249">
        <w:rPr>
          <w:sz w:val="28"/>
        </w:rPr>
        <w:t xml:space="preserve">сухом, </w:t>
      </w:r>
      <w:r w:rsidRPr="009C7545">
        <w:rPr>
          <w:sz w:val="28"/>
        </w:rPr>
        <w:t>защищенном от света месте при температуре не выше 25</w:t>
      </w:r>
      <w:r w:rsidR="00627F70">
        <w:rPr>
          <w:sz w:val="28"/>
        </w:rPr>
        <w:t xml:space="preserve"> </w:t>
      </w:r>
      <w:r w:rsidRPr="009C7545">
        <w:rPr>
          <w:sz w:val="28"/>
          <w:vertAlign w:val="superscript"/>
        </w:rPr>
        <w:t>0</w:t>
      </w:r>
      <w:r w:rsidRPr="009C7545">
        <w:rPr>
          <w:sz w:val="28"/>
        </w:rPr>
        <w:t xml:space="preserve">С. </w:t>
      </w:r>
    </w:p>
    <w:p w:rsidR="004C0738" w:rsidRPr="009C7545" w:rsidRDefault="004C0738" w:rsidP="003075B7">
      <w:pPr>
        <w:spacing w:line="360" w:lineRule="auto"/>
        <w:ind w:right="-426"/>
        <w:jc w:val="both"/>
        <w:rPr>
          <w:sz w:val="28"/>
        </w:rPr>
      </w:pPr>
      <w:r w:rsidRPr="009C7545">
        <w:rPr>
          <w:sz w:val="28"/>
        </w:rPr>
        <w:t>Хранить в недоступн</w:t>
      </w:r>
      <w:r w:rsidR="0031573D" w:rsidRPr="009C7545">
        <w:rPr>
          <w:sz w:val="28"/>
        </w:rPr>
        <w:t>ом</w:t>
      </w:r>
      <w:r w:rsidRPr="009C7545">
        <w:rPr>
          <w:sz w:val="28"/>
        </w:rPr>
        <w:t xml:space="preserve"> для детей</w:t>
      </w:r>
      <w:r w:rsidR="0031573D" w:rsidRPr="009C7545">
        <w:rPr>
          <w:sz w:val="28"/>
        </w:rPr>
        <w:t xml:space="preserve"> месте</w:t>
      </w:r>
      <w:r w:rsidRPr="009C7545">
        <w:rPr>
          <w:sz w:val="28"/>
        </w:rPr>
        <w:t>.</w:t>
      </w:r>
    </w:p>
    <w:p w:rsidR="004C0738" w:rsidRPr="009C7545" w:rsidRDefault="00845665" w:rsidP="003075B7">
      <w:pPr>
        <w:spacing w:line="360" w:lineRule="auto"/>
        <w:jc w:val="both"/>
        <w:rPr>
          <w:b/>
          <w:sz w:val="28"/>
        </w:rPr>
      </w:pPr>
      <w:r w:rsidRPr="009C7545">
        <w:rPr>
          <w:b/>
          <w:sz w:val="28"/>
        </w:rPr>
        <w:t>С</w:t>
      </w:r>
      <w:r w:rsidR="00B77CDC" w:rsidRPr="009C7545">
        <w:rPr>
          <w:b/>
          <w:sz w:val="28"/>
        </w:rPr>
        <w:t xml:space="preserve">рок годности  </w:t>
      </w:r>
    </w:p>
    <w:p w:rsidR="002E2249" w:rsidRDefault="004C0738" w:rsidP="003075B7">
      <w:pPr>
        <w:spacing w:line="360" w:lineRule="auto"/>
        <w:jc w:val="both"/>
        <w:rPr>
          <w:sz w:val="28"/>
        </w:rPr>
      </w:pPr>
      <w:r w:rsidRPr="009C7545">
        <w:rPr>
          <w:sz w:val="28"/>
        </w:rPr>
        <w:t xml:space="preserve">3 года. </w:t>
      </w:r>
    </w:p>
    <w:p w:rsidR="003075B7" w:rsidRPr="009C7545" w:rsidRDefault="002E2249" w:rsidP="003075B7">
      <w:pPr>
        <w:spacing w:line="360" w:lineRule="auto"/>
        <w:jc w:val="both"/>
        <w:rPr>
          <w:sz w:val="28"/>
        </w:rPr>
      </w:pPr>
      <w:r>
        <w:rPr>
          <w:sz w:val="28"/>
        </w:rPr>
        <w:t>Н</w:t>
      </w:r>
      <w:r w:rsidR="004C0738" w:rsidRPr="009C7545">
        <w:rPr>
          <w:sz w:val="28"/>
        </w:rPr>
        <w:t>е применять по истечении срока годности, указанного на упаковке.</w:t>
      </w:r>
    </w:p>
    <w:p w:rsidR="004C0738" w:rsidRPr="009C7545" w:rsidRDefault="00B77CDC" w:rsidP="003075B7">
      <w:pPr>
        <w:spacing w:line="360" w:lineRule="auto"/>
        <w:jc w:val="both"/>
        <w:rPr>
          <w:b/>
          <w:sz w:val="28"/>
        </w:rPr>
      </w:pPr>
      <w:r>
        <w:rPr>
          <w:b/>
          <w:sz w:val="28"/>
        </w:rPr>
        <w:t>У</w:t>
      </w:r>
      <w:r w:rsidRPr="009C7545">
        <w:rPr>
          <w:b/>
          <w:sz w:val="28"/>
        </w:rPr>
        <w:t>словия отпуска</w:t>
      </w:r>
    </w:p>
    <w:p w:rsidR="00845665" w:rsidRPr="009C7545" w:rsidRDefault="006E19BC" w:rsidP="003075B7">
      <w:pPr>
        <w:spacing w:line="360" w:lineRule="auto"/>
        <w:jc w:val="both"/>
        <w:rPr>
          <w:sz w:val="28"/>
        </w:rPr>
      </w:pPr>
      <w:r w:rsidRPr="009C7545">
        <w:rPr>
          <w:sz w:val="28"/>
        </w:rPr>
        <w:t>Отпуска</w:t>
      </w:r>
      <w:r w:rsidR="002663E3" w:rsidRPr="009C7545">
        <w:rPr>
          <w:sz w:val="28"/>
        </w:rPr>
        <w:t>ют</w:t>
      </w:r>
      <w:r w:rsidRPr="009C7545">
        <w:rPr>
          <w:sz w:val="28"/>
        </w:rPr>
        <w:t xml:space="preserve"> п</w:t>
      </w:r>
      <w:r w:rsidR="007C53C1" w:rsidRPr="009C7545">
        <w:rPr>
          <w:sz w:val="28"/>
        </w:rPr>
        <w:t>о рецепту.</w:t>
      </w:r>
    </w:p>
    <w:p w:rsidR="00E66197" w:rsidRPr="009C7545" w:rsidRDefault="00B77CDC" w:rsidP="004C0738">
      <w:pPr>
        <w:spacing w:line="360" w:lineRule="auto"/>
        <w:jc w:val="both"/>
        <w:rPr>
          <w:b/>
          <w:sz w:val="28"/>
        </w:rPr>
      </w:pPr>
      <w:r w:rsidRPr="009C7545">
        <w:rPr>
          <w:b/>
          <w:sz w:val="28"/>
        </w:rPr>
        <w:t>Производитель</w:t>
      </w:r>
      <w:r>
        <w:rPr>
          <w:b/>
          <w:sz w:val="28"/>
        </w:rPr>
        <w:t>/Организация, принимающая п</w:t>
      </w:r>
      <w:r w:rsidRPr="00845665">
        <w:rPr>
          <w:b/>
          <w:sz w:val="28"/>
        </w:rPr>
        <w:t>ретензии</w:t>
      </w:r>
      <w:r w:rsidR="002E2249">
        <w:rPr>
          <w:b/>
          <w:sz w:val="28"/>
        </w:rPr>
        <w:t xml:space="preserve"> потребителей</w:t>
      </w:r>
      <w:r w:rsidR="00845665" w:rsidRPr="009C7545">
        <w:rPr>
          <w:b/>
          <w:sz w:val="28"/>
        </w:rPr>
        <w:t xml:space="preserve">     </w:t>
      </w:r>
    </w:p>
    <w:p w:rsidR="004C0738" w:rsidRPr="009C7545" w:rsidRDefault="00E66197" w:rsidP="00E66197">
      <w:pPr>
        <w:spacing w:line="360" w:lineRule="auto"/>
        <w:ind w:firstLine="993"/>
        <w:jc w:val="both"/>
        <w:rPr>
          <w:sz w:val="28"/>
        </w:rPr>
      </w:pPr>
      <w:r w:rsidRPr="009C7545">
        <w:rPr>
          <w:b/>
          <w:sz w:val="28"/>
        </w:rPr>
        <w:t xml:space="preserve">  </w:t>
      </w:r>
      <w:r w:rsidR="004C0738" w:rsidRPr="009C7545">
        <w:rPr>
          <w:sz w:val="28"/>
        </w:rPr>
        <w:t>ООО «ПРАНАФАРМ»</w:t>
      </w:r>
    </w:p>
    <w:p w:rsidR="004C0738" w:rsidRPr="00845665" w:rsidRDefault="004C0738" w:rsidP="004C0738">
      <w:pPr>
        <w:tabs>
          <w:tab w:val="left" w:pos="1134"/>
        </w:tabs>
        <w:spacing w:line="360" w:lineRule="auto"/>
        <w:jc w:val="both"/>
        <w:rPr>
          <w:sz w:val="28"/>
        </w:rPr>
      </w:pPr>
      <w:r w:rsidRPr="009C7545">
        <w:rPr>
          <w:sz w:val="28"/>
        </w:rPr>
        <w:tab/>
        <w:t>РФ, 443068, г.</w:t>
      </w:r>
      <w:r w:rsidR="00D13D31">
        <w:rPr>
          <w:sz w:val="28"/>
        </w:rPr>
        <w:t xml:space="preserve"> </w:t>
      </w:r>
      <w:r w:rsidRPr="009C7545">
        <w:rPr>
          <w:sz w:val="28"/>
        </w:rPr>
        <w:t>Самара, ул.</w:t>
      </w:r>
      <w:r w:rsidR="00D13D31">
        <w:rPr>
          <w:sz w:val="28"/>
        </w:rPr>
        <w:t xml:space="preserve"> </w:t>
      </w:r>
      <w:r w:rsidRPr="009C7545">
        <w:rPr>
          <w:sz w:val="28"/>
        </w:rPr>
        <w:t xml:space="preserve">Ново-Садовая, </w:t>
      </w:r>
      <w:r w:rsidR="00845665">
        <w:rPr>
          <w:sz w:val="28"/>
        </w:rPr>
        <w:t xml:space="preserve"> дом 106, корпус </w:t>
      </w:r>
      <w:r w:rsidRPr="00845665">
        <w:rPr>
          <w:sz w:val="28"/>
        </w:rPr>
        <w:t>81</w:t>
      </w:r>
    </w:p>
    <w:p w:rsidR="00845665" w:rsidRPr="003C162D" w:rsidRDefault="004C0738" w:rsidP="004C0738">
      <w:pPr>
        <w:tabs>
          <w:tab w:val="left" w:pos="1134"/>
        </w:tabs>
        <w:spacing w:line="360" w:lineRule="auto"/>
        <w:jc w:val="both"/>
        <w:rPr>
          <w:sz w:val="28"/>
          <w:lang w:val="en-US"/>
        </w:rPr>
      </w:pPr>
      <w:r w:rsidRPr="00845665">
        <w:rPr>
          <w:sz w:val="28"/>
        </w:rPr>
        <w:tab/>
      </w:r>
      <w:proofErr w:type="gramStart"/>
      <w:r w:rsidRPr="009C7545">
        <w:rPr>
          <w:sz w:val="28"/>
          <w:lang w:val="en-US"/>
        </w:rPr>
        <w:t>e-mail</w:t>
      </w:r>
      <w:proofErr w:type="gramEnd"/>
      <w:r w:rsidRPr="009C7545">
        <w:rPr>
          <w:sz w:val="28"/>
          <w:lang w:val="en-US"/>
        </w:rPr>
        <w:t xml:space="preserve">: </w:t>
      </w:r>
      <w:hyperlink r:id="rId9" w:history="1">
        <w:r w:rsidR="005F7AEA" w:rsidRPr="00B77CDC">
          <w:rPr>
            <w:rStyle w:val="a9"/>
            <w:color w:val="auto"/>
            <w:sz w:val="28"/>
            <w:szCs w:val="28"/>
            <w:u w:val="none"/>
            <w:lang w:val="en-US"/>
          </w:rPr>
          <w:t>info@pranapharm.ru</w:t>
        </w:r>
      </w:hyperlink>
      <w:r w:rsidRPr="009C7545">
        <w:rPr>
          <w:sz w:val="28"/>
          <w:lang w:val="en-US"/>
        </w:rPr>
        <w:tab/>
      </w:r>
    </w:p>
    <w:p w:rsidR="004C0738" w:rsidRPr="003C162D" w:rsidRDefault="00845665" w:rsidP="004C0738">
      <w:pPr>
        <w:tabs>
          <w:tab w:val="left" w:pos="1134"/>
        </w:tabs>
        <w:spacing w:line="360" w:lineRule="auto"/>
        <w:jc w:val="both"/>
        <w:rPr>
          <w:sz w:val="28"/>
        </w:rPr>
      </w:pPr>
      <w:r w:rsidRPr="003C162D">
        <w:rPr>
          <w:sz w:val="28"/>
          <w:lang w:val="en-US"/>
        </w:rPr>
        <w:t xml:space="preserve">                </w:t>
      </w:r>
      <w:r w:rsidR="004C0738" w:rsidRPr="009C7545">
        <w:rPr>
          <w:sz w:val="28"/>
          <w:lang w:val="en-US"/>
        </w:rPr>
        <w:t>www</w:t>
      </w:r>
      <w:r w:rsidR="004C0738" w:rsidRPr="003C162D">
        <w:rPr>
          <w:sz w:val="28"/>
        </w:rPr>
        <w:t>.</w:t>
      </w:r>
      <w:proofErr w:type="spellStart"/>
      <w:r w:rsidR="004C0738" w:rsidRPr="009C7545">
        <w:rPr>
          <w:sz w:val="28"/>
          <w:lang w:val="en-US"/>
        </w:rPr>
        <w:t>pranapharm</w:t>
      </w:r>
      <w:proofErr w:type="spellEnd"/>
      <w:r w:rsidR="004C0738" w:rsidRPr="003C162D">
        <w:rPr>
          <w:sz w:val="28"/>
        </w:rPr>
        <w:t>.</w:t>
      </w:r>
      <w:proofErr w:type="spellStart"/>
      <w:r w:rsidR="004C0738" w:rsidRPr="009C7545">
        <w:rPr>
          <w:sz w:val="28"/>
          <w:lang w:val="en-US"/>
        </w:rPr>
        <w:t>ru</w:t>
      </w:r>
      <w:proofErr w:type="spellEnd"/>
    </w:p>
    <w:p w:rsidR="0031573D" w:rsidRPr="009C7545" w:rsidRDefault="004C0738" w:rsidP="0031573D">
      <w:pPr>
        <w:tabs>
          <w:tab w:val="left" w:pos="1134"/>
        </w:tabs>
        <w:spacing w:line="360" w:lineRule="auto"/>
        <w:jc w:val="both"/>
        <w:rPr>
          <w:sz w:val="28"/>
        </w:rPr>
      </w:pPr>
      <w:r w:rsidRPr="003C162D">
        <w:rPr>
          <w:sz w:val="28"/>
        </w:rPr>
        <w:tab/>
      </w:r>
      <w:r w:rsidR="00D13D31">
        <w:rPr>
          <w:sz w:val="28"/>
        </w:rPr>
        <w:t>тел. (846) 334-52-32, 207-12-61;</w:t>
      </w:r>
      <w:r w:rsidR="0031573D" w:rsidRPr="009C7545">
        <w:rPr>
          <w:sz w:val="28"/>
        </w:rPr>
        <w:t xml:space="preserve"> факс (846) 335-15-61, 207-41-62</w:t>
      </w:r>
    </w:p>
    <w:p w:rsidR="0041065F" w:rsidRPr="009C7545" w:rsidRDefault="0041065F" w:rsidP="004C0738">
      <w:pPr>
        <w:tabs>
          <w:tab w:val="left" w:pos="1134"/>
        </w:tabs>
        <w:spacing w:line="360" w:lineRule="auto"/>
        <w:jc w:val="both"/>
        <w:rPr>
          <w:sz w:val="28"/>
        </w:rPr>
      </w:pPr>
    </w:p>
    <w:p w:rsidR="0041065F" w:rsidRPr="009C7545" w:rsidRDefault="004C0738" w:rsidP="00845665">
      <w:pPr>
        <w:spacing w:line="360" w:lineRule="auto"/>
        <w:jc w:val="both"/>
        <w:rPr>
          <w:sz w:val="28"/>
        </w:rPr>
      </w:pPr>
      <w:r w:rsidRPr="009C7545">
        <w:rPr>
          <w:sz w:val="28"/>
        </w:rPr>
        <w:t xml:space="preserve">       </w:t>
      </w:r>
    </w:p>
    <w:p w:rsidR="0041065F" w:rsidRPr="009C7545" w:rsidRDefault="0041065F" w:rsidP="004C0738">
      <w:pPr>
        <w:tabs>
          <w:tab w:val="left" w:pos="1134"/>
        </w:tabs>
        <w:spacing w:line="360" w:lineRule="auto"/>
        <w:jc w:val="both"/>
        <w:rPr>
          <w:sz w:val="28"/>
        </w:rPr>
      </w:pPr>
    </w:p>
    <w:p w:rsidR="004C0738" w:rsidRPr="009C7545" w:rsidRDefault="004C0738" w:rsidP="004C0738">
      <w:pPr>
        <w:tabs>
          <w:tab w:val="left" w:pos="1134"/>
        </w:tabs>
        <w:spacing w:line="360" w:lineRule="auto"/>
        <w:jc w:val="both"/>
        <w:rPr>
          <w:sz w:val="28"/>
          <w:szCs w:val="28"/>
        </w:rPr>
      </w:pPr>
      <w:r w:rsidRPr="009C7545">
        <w:rPr>
          <w:sz w:val="28"/>
          <w:szCs w:val="28"/>
        </w:rPr>
        <w:t xml:space="preserve">Генеральный директор </w:t>
      </w:r>
    </w:p>
    <w:p w:rsidR="004C0738" w:rsidRPr="004C6885" w:rsidRDefault="004C0738" w:rsidP="004C0738">
      <w:pPr>
        <w:tabs>
          <w:tab w:val="left" w:pos="1134"/>
        </w:tabs>
        <w:spacing w:line="360" w:lineRule="auto"/>
        <w:jc w:val="both"/>
        <w:rPr>
          <w:sz w:val="28"/>
          <w:szCs w:val="28"/>
        </w:rPr>
      </w:pPr>
      <w:r w:rsidRPr="009C7545">
        <w:rPr>
          <w:sz w:val="28"/>
          <w:szCs w:val="28"/>
        </w:rPr>
        <w:t>ООО «ПРАНАФАРМ», д.м.н.                                                           Е.А.</w:t>
      </w:r>
      <w:r w:rsidR="00FD4979">
        <w:rPr>
          <w:sz w:val="28"/>
          <w:szCs w:val="28"/>
        </w:rPr>
        <w:t xml:space="preserve"> </w:t>
      </w:r>
      <w:proofErr w:type="gramStart"/>
      <w:r w:rsidRPr="009C7545">
        <w:rPr>
          <w:sz w:val="28"/>
          <w:szCs w:val="28"/>
        </w:rPr>
        <w:t>Мишина</w:t>
      </w:r>
      <w:proofErr w:type="gramEnd"/>
    </w:p>
    <w:p w:rsidR="00516A83" w:rsidRPr="004C6885" w:rsidRDefault="00516A83" w:rsidP="00516A83"/>
    <w:sectPr w:rsidR="00516A83" w:rsidRPr="004C6885" w:rsidSect="005836A2">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64" w:rsidRDefault="00E75164">
      <w:r>
        <w:separator/>
      </w:r>
    </w:p>
  </w:endnote>
  <w:endnote w:type="continuationSeparator" w:id="0">
    <w:p w:rsidR="00E75164" w:rsidRDefault="00E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64" w:rsidRDefault="00E75164">
      <w:r>
        <w:separator/>
      </w:r>
    </w:p>
  </w:footnote>
  <w:footnote w:type="continuationSeparator" w:id="0">
    <w:p w:rsidR="00E75164" w:rsidRDefault="00E7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64" w:rsidRDefault="00E75164" w:rsidP="0074703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5164" w:rsidRDefault="00E75164" w:rsidP="00091B0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64" w:rsidRPr="00751BAD" w:rsidRDefault="00E75164" w:rsidP="00747033">
    <w:pPr>
      <w:pStyle w:val="a4"/>
      <w:framePr w:wrap="around" w:vAnchor="text" w:hAnchor="margin" w:xAlign="right" w:y="1"/>
      <w:rPr>
        <w:rStyle w:val="a5"/>
        <w:sz w:val="28"/>
        <w:szCs w:val="28"/>
      </w:rPr>
    </w:pPr>
    <w:r w:rsidRPr="00751BAD">
      <w:rPr>
        <w:rStyle w:val="a5"/>
        <w:sz w:val="28"/>
        <w:szCs w:val="28"/>
      </w:rPr>
      <w:fldChar w:fldCharType="begin"/>
    </w:r>
    <w:r w:rsidRPr="00751BAD">
      <w:rPr>
        <w:rStyle w:val="a5"/>
        <w:sz w:val="28"/>
        <w:szCs w:val="28"/>
      </w:rPr>
      <w:instrText xml:space="preserve">PAGE  </w:instrText>
    </w:r>
    <w:r w:rsidRPr="00751BAD">
      <w:rPr>
        <w:rStyle w:val="a5"/>
        <w:sz w:val="28"/>
        <w:szCs w:val="28"/>
      </w:rPr>
      <w:fldChar w:fldCharType="separate"/>
    </w:r>
    <w:r w:rsidR="005033B8">
      <w:rPr>
        <w:rStyle w:val="a5"/>
        <w:noProof/>
        <w:sz w:val="28"/>
        <w:szCs w:val="28"/>
      </w:rPr>
      <w:t>4</w:t>
    </w:r>
    <w:r w:rsidRPr="00751BAD">
      <w:rPr>
        <w:rStyle w:val="a5"/>
        <w:sz w:val="28"/>
        <w:szCs w:val="28"/>
      </w:rPr>
      <w:fldChar w:fldCharType="end"/>
    </w:r>
  </w:p>
  <w:p w:rsidR="00E75164" w:rsidRDefault="00E751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6F3"/>
    <w:multiLevelType w:val="hybridMultilevel"/>
    <w:tmpl w:val="A6D6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50F9F"/>
    <w:multiLevelType w:val="hybridMultilevel"/>
    <w:tmpl w:val="F83C9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223E0"/>
    <w:multiLevelType w:val="hybridMultilevel"/>
    <w:tmpl w:val="E60E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D5747"/>
    <w:multiLevelType w:val="hybridMultilevel"/>
    <w:tmpl w:val="F89C2C62"/>
    <w:lvl w:ilvl="0" w:tplc="8FA8C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5461C8"/>
    <w:multiLevelType w:val="hybridMultilevel"/>
    <w:tmpl w:val="17904DCC"/>
    <w:lvl w:ilvl="0" w:tplc="8FA8C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F6609F"/>
    <w:multiLevelType w:val="hybridMultilevel"/>
    <w:tmpl w:val="1ECC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CE"/>
    <w:rsid w:val="00000763"/>
    <w:rsid w:val="00003433"/>
    <w:rsid w:val="00004F6D"/>
    <w:rsid w:val="00013823"/>
    <w:rsid w:val="00015DA3"/>
    <w:rsid w:val="00027F58"/>
    <w:rsid w:val="00034630"/>
    <w:rsid w:val="000406B3"/>
    <w:rsid w:val="000428CB"/>
    <w:rsid w:val="00043503"/>
    <w:rsid w:val="0004481B"/>
    <w:rsid w:val="0004555D"/>
    <w:rsid w:val="00045CD6"/>
    <w:rsid w:val="00060B6E"/>
    <w:rsid w:val="00066F10"/>
    <w:rsid w:val="00072B9E"/>
    <w:rsid w:val="00077788"/>
    <w:rsid w:val="0008081A"/>
    <w:rsid w:val="000858E9"/>
    <w:rsid w:val="00091B06"/>
    <w:rsid w:val="00096092"/>
    <w:rsid w:val="000A3D58"/>
    <w:rsid w:val="000B7041"/>
    <w:rsid w:val="000C2994"/>
    <w:rsid w:val="000D2DA6"/>
    <w:rsid w:val="000E22CE"/>
    <w:rsid w:val="000F2A2D"/>
    <w:rsid w:val="000F3052"/>
    <w:rsid w:val="00106114"/>
    <w:rsid w:val="00110A31"/>
    <w:rsid w:val="001169B6"/>
    <w:rsid w:val="00120FDB"/>
    <w:rsid w:val="00121748"/>
    <w:rsid w:val="0012276F"/>
    <w:rsid w:val="00140E3C"/>
    <w:rsid w:val="00145437"/>
    <w:rsid w:val="001475D3"/>
    <w:rsid w:val="00150BA8"/>
    <w:rsid w:val="001627FF"/>
    <w:rsid w:val="001648E4"/>
    <w:rsid w:val="0017364A"/>
    <w:rsid w:val="0017493E"/>
    <w:rsid w:val="00187ED5"/>
    <w:rsid w:val="00191BF9"/>
    <w:rsid w:val="001A491C"/>
    <w:rsid w:val="001A55FB"/>
    <w:rsid w:val="001B0355"/>
    <w:rsid w:val="001B5065"/>
    <w:rsid w:val="001B7EB1"/>
    <w:rsid w:val="001C168C"/>
    <w:rsid w:val="001D1A04"/>
    <w:rsid w:val="001E3337"/>
    <w:rsid w:val="001E5951"/>
    <w:rsid w:val="001E7D41"/>
    <w:rsid w:val="001F0226"/>
    <w:rsid w:val="00213280"/>
    <w:rsid w:val="002159B7"/>
    <w:rsid w:val="00216C8E"/>
    <w:rsid w:val="00226D2C"/>
    <w:rsid w:val="00231AE4"/>
    <w:rsid w:val="00232773"/>
    <w:rsid w:val="00240B65"/>
    <w:rsid w:val="00242B62"/>
    <w:rsid w:val="0024530C"/>
    <w:rsid w:val="00262B69"/>
    <w:rsid w:val="002645EE"/>
    <w:rsid w:val="002663E3"/>
    <w:rsid w:val="00270C11"/>
    <w:rsid w:val="00270C99"/>
    <w:rsid w:val="002747E8"/>
    <w:rsid w:val="00283DE8"/>
    <w:rsid w:val="002847D4"/>
    <w:rsid w:val="002857BF"/>
    <w:rsid w:val="002970CE"/>
    <w:rsid w:val="0029767A"/>
    <w:rsid w:val="002A06B2"/>
    <w:rsid w:val="002A6583"/>
    <w:rsid w:val="002A6A12"/>
    <w:rsid w:val="002C1306"/>
    <w:rsid w:val="002C3427"/>
    <w:rsid w:val="002C7707"/>
    <w:rsid w:val="002C789D"/>
    <w:rsid w:val="002D0444"/>
    <w:rsid w:val="002D3604"/>
    <w:rsid w:val="002D562A"/>
    <w:rsid w:val="002E2249"/>
    <w:rsid w:val="002F27D7"/>
    <w:rsid w:val="0030301D"/>
    <w:rsid w:val="0030637B"/>
    <w:rsid w:val="003075B7"/>
    <w:rsid w:val="0031573D"/>
    <w:rsid w:val="00330A0D"/>
    <w:rsid w:val="003444D5"/>
    <w:rsid w:val="00346883"/>
    <w:rsid w:val="0035277A"/>
    <w:rsid w:val="00365AE1"/>
    <w:rsid w:val="003761B1"/>
    <w:rsid w:val="00380300"/>
    <w:rsid w:val="00385810"/>
    <w:rsid w:val="0038593A"/>
    <w:rsid w:val="0039081A"/>
    <w:rsid w:val="00392F10"/>
    <w:rsid w:val="00394532"/>
    <w:rsid w:val="00395376"/>
    <w:rsid w:val="003A19CE"/>
    <w:rsid w:val="003A2F0B"/>
    <w:rsid w:val="003B413F"/>
    <w:rsid w:val="003C162D"/>
    <w:rsid w:val="003C59A5"/>
    <w:rsid w:val="003C74ED"/>
    <w:rsid w:val="003E00E2"/>
    <w:rsid w:val="003F02CD"/>
    <w:rsid w:val="00406034"/>
    <w:rsid w:val="0041065F"/>
    <w:rsid w:val="00413798"/>
    <w:rsid w:val="00416B15"/>
    <w:rsid w:val="00433D55"/>
    <w:rsid w:val="004407DD"/>
    <w:rsid w:val="0044310D"/>
    <w:rsid w:val="0044716B"/>
    <w:rsid w:val="004501EF"/>
    <w:rsid w:val="004701FB"/>
    <w:rsid w:val="004761C7"/>
    <w:rsid w:val="00480C49"/>
    <w:rsid w:val="004879F0"/>
    <w:rsid w:val="00491BB0"/>
    <w:rsid w:val="00493890"/>
    <w:rsid w:val="004958D6"/>
    <w:rsid w:val="00497129"/>
    <w:rsid w:val="004978EA"/>
    <w:rsid w:val="004A4B4E"/>
    <w:rsid w:val="004A5CCD"/>
    <w:rsid w:val="004A7BA5"/>
    <w:rsid w:val="004C0738"/>
    <w:rsid w:val="004C1818"/>
    <w:rsid w:val="004C516E"/>
    <w:rsid w:val="004C6885"/>
    <w:rsid w:val="004D3500"/>
    <w:rsid w:val="004E74A0"/>
    <w:rsid w:val="004F1585"/>
    <w:rsid w:val="005033B8"/>
    <w:rsid w:val="00505573"/>
    <w:rsid w:val="00507C89"/>
    <w:rsid w:val="0051523C"/>
    <w:rsid w:val="00516A83"/>
    <w:rsid w:val="00517DB3"/>
    <w:rsid w:val="005263D8"/>
    <w:rsid w:val="00540786"/>
    <w:rsid w:val="00543CF5"/>
    <w:rsid w:val="00561DC3"/>
    <w:rsid w:val="00570CD5"/>
    <w:rsid w:val="0058101A"/>
    <w:rsid w:val="005836A2"/>
    <w:rsid w:val="00586587"/>
    <w:rsid w:val="00590A3B"/>
    <w:rsid w:val="00590DD7"/>
    <w:rsid w:val="00594857"/>
    <w:rsid w:val="005A40BF"/>
    <w:rsid w:val="005A4EA6"/>
    <w:rsid w:val="005A69EA"/>
    <w:rsid w:val="005C778F"/>
    <w:rsid w:val="005D2B61"/>
    <w:rsid w:val="005E4536"/>
    <w:rsid w:val="005F2A04"/>
    <w:rsid w:val="005F2D6C"/>
    <w:rsid w:val="005F324F"/>
    <w:rsid w:val="005F5E42"/>
    <w:rsid w:val="005F7AEA"/>
    <w:rsid w:val="006015B0"/>
    <w:rsid w:val="00601FFA"/>
    <w:rsid w:val="006205CA"/>
    <w:rsid w:val="0062071C"/>
    <w:rsid w:val="00621CB2"/>
    <w:rsid w:val="00627F70"/>
    <w:rsid w:val="00631C40"/>
    <w:rsid w:val="00637B1A"/>
    <w:rsid w:val="00641591"/>
    <w:rsid w:val="006415C3"/>
    <w:rsid w:val="0064781F"/>
    <w:rsid w:val="006521B5"/>
    <w:rsid w:val="00670124"/>
    <w:rsid w:val="006914F0"/>
    <w:rsid w:val="006921B7"/>
    <w:rsid w:val="006A3C1F"/>
    <w:rsid w:val="006A3EA6"/>
    <w:rsid w:val="006A46A2"/>
    <w:rsid w:val="006B3C93"/>
    <w:rsid w:val="006B4FF9"/>
    <w:rsid w:val="006C10EE"/>
    <w:rsid w:val="006C6822"/>
    <w:rsid w:val="006C6BFE"/>
    <w:rsid w:val="006D5DD7"/>
    <w:rsid w:val="006E19BC"/>
    <w:rsid w:val="006F04B9"/>
    <w:rsid w:val="006F2429"/>
    <w:rsid w:val="00707DCF"/>
    <w:rsid w:val="00716290"/>
    <w:rsid w:val="0071703B"/>
    <w:rsid w:val="00723403"/>
    <w:rsid w:val="00724CC5"/>
    <w:rsid w:val="00743B11"/>
    <w:rsid w:val="00746174"/>
    <w:rsid w:val="00747033"/>
    <w:rsid w:val="00751BAD"/>
    <w:rsid w:val="0075308A"/>
    <w:rsid w:val="00756CC1"/>
    <w:rsid w:val="007627B1"/>
    <w:rsid w:val="007637A9"/>
    <w:rsid w:val="00763E4E"/>
    <w:rsid w:val="00764E82"/>
    <w:rsid w:val="00780177"/>
    <w:rsid w:val="0078609C"/>
    <w:rsid w:val="0079330B"/>
    <w:rsid w:val="00793FB4"/>
    <w:rsid w:val="00794E94"/>
    <w:rsid w:val="007A094B"/>
    <w:rsid w:val="007A4376"/>
    <w:rsid w:val="007C0CBD"/>
    <w:rsid w:val="007C53C1"/>
    <w:rsid w:val="007D4544"/>
    <w:rsid w:val="007E0A44"/>
    <w:rsid w:val="007E20BF"/>
    <w:rsid w:val="007E6E5C"/>
    <w:rsid w:val="007F11FE"/>
    <w:rsid w:val="007F3654"/>
    <w:rsid w:val="008010A3"/>
    <w:rsid w:val="008116B0"/>
    <w:rsid w:val="00814C0E"/>
    <w:rsid w:val="00820350"/>
    <w:rsid w:val="00840FB0"/>
    <w:rsid w:val="0084307D"/>
    <w:rsid w:val="00845665"/>
    <w:rsid w:val="00850C0B"/>
    <w:rsid w:val="00857D3E"/>
    <w:rsid w:val="008719C7"/>
    <w:rsid w:val="0087242F"/>
    <w:rsid w:val="00874CD2"/>
    <w:rsid w:val="00877062"/>
    <w:rsid w:val="008A3EFC"/>
    <w:rsid w:val="008A4AF7"/>
    <w:rsid w:val="008A5866"/>
    <w:rsid w:val="008D445A"/>
    <w:rsid w:val="008D4AAA"/>
    <w:rsid w:val="008E68B9"/>
    <w:rsid w:val="008F0FF9"/>
    <w:rsid w:val="00901161"/>
    <w:rsid w:val="009048CA"/>
    <w:rsid w:val="00912E24"/>
    <w:rsid w:val="00921DCE"/>
    <w:rsid w:val="00924250"/>
    <w:rsid w:val="009279E3"/>
    <w:rsid w:val="00944306"/>
    <w:rsid w:val="00951AA5"/>
    <w:rsid w:val="00953CEC"/>
    <w:rsid w:val="009773CD"/>
    <w:rsid w:val="00983E40"/>
    <w:rsid w:val="009851E0"/>
    <w:rsid w:val="00986519"/>
    <w:rsid w:val="00986811"/>
    <w:rsid w:val="0099315B"/>
    <w:rsid w:val="00995156"/>
    <w:rsid w:val="0099543A"/>
    <w:rsid w:val="00997DD8"/>
    <w:rsid w:val="009A1B89"/>
    <w:rsid w:val="009B0FBA"/>
    <w:rsid w:val="009B252E"/>
    <w:rsid w:val="009B3BB3"/>
    <w:rsid w:val="009B575F"/>
    <w:rsid w:val="009B5FEF"/>
    <w:rsid w:val="009B7DCB"/>
    <w:rsid w:val="009C7545"/>
    <w:rsid w:val="009C7925"/>
    <w:rsid w:val="009C7C21"/>
    <w:rsid w:val="009D05BA"/>
    <w:rsid w:val="009D20AE"/>
    <w:rsid w:val="009D355F"/>
    <w:rsid w:val="009E30EC"/>
    <w:rsid w:val="009F327E"/>
    <w:rsid w:val="009F64EC"/>
    <w:rsid w:val="00A1165F"/>
    <w:rsid w:val="00A14D81"/>
    <w:rsid w:val="00A1721C"/>
    <w:rsid w:val="00A20341"/>
    <w:rsid w:val="00A30737"/>
    <w:rsid w:val="00A32FB2"/>
    <w:rsid w:val="00A33C53"/>
    <w:rsid w:val="00A34895"/>
    <w:rsid w:val="00A363E9"/>
    <w:rsid w:val="00A41788"/>
    <w:rsid w:val="00A42AAE"/>
    <w:rsid w:val="00A448D8"/>
    <w:rsid w:val="00A45762"/>
    <w:rsid w:val="00A51B0C"/>
    <w:rsid w:val="00A53795"/>
    <w:rsid w:val="00A53FAC"/>
    <w:rsid w:val="00A63B77"/>
    <w:rsid w:val="00A644D9"/>
    <w:rsid w:val="00A7073C"/>
    <w:rsid w:val="00A72338"/>
    <w:rsid w:val="00A73918"/>
    <w:rsid w:val="00A74E6C"/>
    <w:rsid w:val="00A75B2F"/>
    <w:rsid w:val="00A87917"/>
    <w:rsid w:val="00A9133E"/>
    <w:rsid w:val="00A952DE"/>
    <w:rsid w:val="00A958EA"/>
    <w:rsid w:val="00AA12F3"/>
    <w:rsid w:val="00AA3807"/>
    <w:rsid w:val="00AA74C9"/>
    <w:rsid w:val="00AB156B"/>
    <w:rsid w:val="00AB256A"/>
    <w:rsid w:val="00AB638E"/>
    <w:rsid w:val="00AC2F4E"/>
    <w:rsid w:val="00AD54E4"/>
    <w:rsid w:val="00AD5FD5"/>
    <w:rsid w:val="00AE0F98"/>
    <w:rsid w:val="00AE14BF"/>
    <w:rsid w:val="00AE387B"/>
    <w:rsid w:val="00AF229B"/>
    <w:rsid w:val="00AF6847"/>
    <w:rsid w:val="00AF7572"/>
    <w:rsid w:val="00B112E1"/>
    <w:rsid w:val="00B31DC5"/>
    <w:rsid w:val="00B47193"/>
    <w:rsid w:val="00B541C6"/>
    <w:rsid w:val="00B67FC0"/>
    <w:rsid w:val="00B702F2"/>
    <w:rsid w:val="00B71871"/>
    <w:rsid w:val="00B77CDC"/>
    <w:rsid w:val="00B963D8"/>
    <w:rsid w:val="00BB61D7"/>
    <w:rsid w:val="00BE1D7D"/>
    <w:rsid w:val="00BE2973"/>
    <w:rsid w:val="00BE4737"/>
    <w:rsid w:val="00BF6CB1"/>
    <w:rsid w:val="00BF7A5F"/>
    <w:rsid w:val="00C01533"/>
    <w:rsid w:val="00C14532"/>
    <w:rsid w:val="00C2102B"/>
    <w:rsid w:val="00C22630"/>
    <w:rsid w:val="00C247D8"/>
    <w:rsid w:val="00C271CB"/>
    <w:rsid w:val="00C30376"/>
    <w:rsid w:val="00C356A7"/>
    <w:rsid w:val="00C42B90"/>
    <w:rsid w:val="00C478CE"/>
    <w:rsid w:val="00C64318"/>
    <w:rsid w:val="00C712F4"/>
    <w:rsid w:val="00C71568"/>
    <w:rsid w:val="00C80FBE"/>
    <w:rsid w:val="00C84866"/>
    <w:rsid w:val="00C87A2B"/>
    <w:rsid w:val="00CA563B"/>
    <w:rsid w:val="00CB28DE"/>
    <w:rsid w:val="00CB5057"/>
    <w:rsid w:val="00CB7886"/>
    <w:rsid w:val="00CC1001"/>
    <w:rsid w:val="00CC19D6"/>
    <w:rsid w:val="00CC775A"/>
    <w:rsid w:val="00CD424C"/>
    <w:rsid w:val="00CE1F3D"/>
    <w:rsid w:val="00CE23EB"/>
    <w:rsid w:val="00CE2A87"/>
    <w:rsid w:val="00CE71E0"/>
    <w:rsid w:val="00D015D7"/>
    <w:rsid w:val="00D10FEB"/>
    <w:rsid w:val="00D13D31"/>
    <w:rsid w:val="00D15827"/>
    <w:rsid w:val="00D41E2C"/>
    <w:rsid w:val="00D5067B"/>
    <w:rsid w:val="00D62208"/>
    <w:rsid w:val="00D6611F"/>
    <w:rsid w:val="00D74EBD"/>
    <w:rsid w:val="00D76622"/>
    <w:rsid w:val="00D8024E"/>
    <w:rsid w:val="00D83661"/>
    <w:rsid w:val="00D91972"/>
    <w:rsid w:val="00DA06B6"/>
    <w:rsid w:val="00DA3A0F"/>
    <w:rsid w:val="00DB4A81"/>
    <w:rsid w:val="00DB4F78"/>
    <w:rsid w:val="00DC3B5F"/>
    <w:rsid w:val="00DC435A"/>
    <w:rsid w:val="00DC6C0E"/>
    <w:rsid w:val="00DC73FF"/>
    <w:rsid w:val="00DD2359"/>
    <w:rsid w:val="00DD4534"/>
    <w:rsid w:val="00DD4810"/>
    <w:rsid w:val="00DE31F1"/>
    <w:rsid w:val="00DE3234"/>
    <w:rsid w:val="00DE3D6F"/>
    <w:rsid w:val="00DF3E94"/>
    <w:rsid w:val="00E02909"/>
    <w:rsid w:val="00E13F45"/>
    <w:rsid w:val="00E1463C"/>
    <w:rsid w:val="00E15181"/>
    <w:rsid w:val="00E20F75"/>
    <w:rsid w:val="00E26988"/>
    <w:rsid w:val="00E27503"/>
    <w:rsid w:val="00E3021F"/>
    <w:rsid w:val="00E306D4"/>
    <w:rsid w:val="00E33E14"/>
    <w:rsid w:val="00E3785C"/>
    <w:rsid w:val="00E43686"/>
    <w:rsid w:val="00E437B8"/>
    <w:rsid w:val="00E53C64"/>
    <w:rsid w:val="00E54EE7"/>
    <w:rsid w:val="00E66197"/>
    <w:rsid w:val="00E72D7D"/>
    <w:rsid w:val="00E75164"/>
    <w:rsid w:val="00E76794"/>
    <w:rsid w:val="00E7730C"/>
    <w:rsid w:val="00E86A5D"/>
    <w:rsid w:val="00E94E8D"/>
    <w:rsid w:val="00E95AEC"/>
    <w:rsid w:val="00EA1C04"/>
    <w:rsid w:val="00EA6AEF"/>
    <w:rsid w:val="00EB33E6"/>
    <w:rsid w:val="00EB4413"/>
    <w:rsid w:val="00EB4AB7"/>
    <w:rsid w:val="00EB5B03"/>
    <w:rsid w:val="00EB7FFD"/>
    <w:rsid w:val="00EC3F84"/>
    <w:rsid w:val="00ED2DFB"/>
    <w:rsid w:val="00ED3458"/>
    <w:rsid w:val="00ED377E"/>
    <w:rsid w:val="00ED40F7"/>
    <w:rsid w:val="00EE2889"/>
    <w:rsid w:val="00EF69A2"/>
    <w:rsid w:val="00F02ECA"/>
    <w:rsid w:val="00F036E3"/>
    <w:rsid w:val="00F1095F"/>
    <w:rsid w:val="00F1259B"/>
    <w:rsid w:val="00F31843"/>
    <w:rsid w:val="00F33C31"/>
    <w:rsid w:val="00F67968"/>
    <w:rsid w:val="00F75ADF"/>
    <w:rsid w:val="00F80177"/>
    <w:rsid w:val="00F801A0"/>
    <w:rsid w:val="00F868BB"/>
    <w:rsid w:val="00F9367E"/>
    <w:rsid w:val="00F95CE5"/>
    <w:rsid w:val="00FA104D"/>
    <w:rsid w:val="00FA49F9"/>
    <w:rsid w:val="00FB3639"/>
    <w:rsid w:val="00FC4F50"/>
    <w:rsid w:val="00FD4979"/>
    <w:rsid w:val="00FE32B4"/>
    <w:rsid w:val="00FE33D7"/>
    <w:rsid w:val="00FF5129"/>
    <w:rsid w:val="00FF6880"/>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ECA"/>
    <w:rPr>
      <w:sz w:val="24"/>
      <w:szCs w:val="24"/>
    </w:rPr>
  </w:style>
  <w:style w:type="paragraph" w:styleId="1">
    <w:name w:val="heading 1"/>
    <w:basedOn w:val="a"/>
    <w:next w:val="a"/>
    <w:link w:val="10"/>
    <w:qFormat/>
    <w:rsid w:val="009C7925"/>
    <w:pPr>
      <w:keepNext/>
      <w:outlineLvl w:val="0"/>
    </w:pPr>
    <w:rPr>
      <w:sz w:val="28"/>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91B06"/>
    <w:pPr>
      <w:tabs>
        <w:tab w:val="center" w:pos="4677"/>
        <w:tab w:val="right" w:pos="9355"/>
      </w:tabs>
    </w:pPr>
  </w:style>
  <w:style w:type="character" w:styleId="a5">
    <w:name w:val="page number"/>
    <w:basedOn w:val="a0"/>
    <w:rsid w:val="00091B06"/>
  </w:style>
  <w:style w:type="paragraph" w:styleId="a6">
    <w:name w:val="footer"/>
    <w:basedOn w:val="a"/>
    <w:rsid w:val="00091B06"/>
    <w:pPr>
      <w:tabs>
        <w:tab w:val="center" w:pos="4677"/>
        <w:tab w:val="right" w:pos="9355"/>
      </w:tabs>
    </w:pPr>
  </w:style>
  <w:style w:type="paragraph" w:styleId="a7">
    <w:name w:val="Body Text"/>
    <w:basedOn w:val="a"/>
    <w:link w:val="a8"/>
    <w:rsid w:val="00413798"/>
    <w:rPr>
      <w:sz w:val="28"/>
      <w:szCs w:val="20"/>
    </w:rPr>
  </w:style>
  <w:style w:type="character" w:customStyle="1" w:styleId="a8">
    <w:name w:val="Основной текст Знак"/>
    <w:basedOn w:val="a0"/>
    <w:link w:val="a7"/>
    <w:rsid w:val="00413798"/>
    <w:rPr>
      <w:sz w:val="28"/>
    </w:rPr>
  </w:style>
  <w:style w:type="character" w:styleId="a9">
    <w:name w:val="Hyperlink"/>
    <w:basedOn w:val="a0"/>
    <w:rsid w:val="005F7AEA"/>
    <w:rPr>
      <w:color w:val="0000FF"/>
      <w:u w:val="single"/>
    </w:rPr>
  </w:style>
  <w:style w:type="paragraph" w:styleId="aa">
    <w:name w:val="Normal (Web)"/>
    <w:basedOn w:val="a"/>
    <w:uiPriority w:val="99"/>
    <w:unhideWhenUsed/>
    <w:rsid w:val="00E3785C"/>
    <w:pPr>
      <w:spacing w:before="100" w:beforeAutospacing="1" w:after="100" w:afterAutospacing="1"/>
    </w:pPr>
  </w:style>
  <w:style w:type="character" w:customStyle="1" w:styleId="googqs-tidbit-2">
    <w:name w:val="goog_qs-tidbit-2"/>
    <w:basedOn w:val="a0"/>
    <w:rsid w:val="00043503"/>
  </w:style>
  <w:style w:type="paragraph" w:styleId="ab">
    <w:name w:val="No Spacing"/>
    <w:uiPriority w:val="1"/>
    <w:qFormat/>
    <w:rsid w:val="00DC73FF"/>
    <w:rPr>
      <w:rFonts w:ascii="Calibri" w:eastAsia="Calibri" w:hAnsi="Calibri"/>
      <w:sz w:val="22"/>
      <w:szCs w:val="22"/>
      <w:lang w:eastAsia="en-US"/>
    </w:rPr>
  </w:style>
  <w:style w:type="paragraph" w:customStyle="1" w:styleId="Default">
    <w:name w:val="Default"/>
    <w:rsid w:val="004C516E"/>
    <w:pPr>
      <w:autoSpaceDE w:val="0"/>
      <w:autoSpaceDN w:val="0"/>
      <w:adjustRightInd w:val="0"/>
    </w:pPr>
    <w:rPr>
      <w:color w:val="000000"/>
      <w:sz w:val="24"/>
      <w:szCs w:val="24"/>
    </w:rPr>
  </w:style>
  <w:style w:type="paragraph" w:styleId="ac">
    <w:name w:val="Balloon Text"/>
    <w:basedOn w:val="a"/>
    <w:link w:val="ad"/>
    <w:rsid w:val="003075B7"/>
    <w:rPr>
      <w:rFonts w:ascii="Tahoma" w:hAnsi="Tahoma" w:cs="Tahoma"/>
      <w:sz w:val="16"/>
      <w:szCs w:val="16"/>
    </w:rPr>
  </w:style>
  <w:style w:type="character" w:customStyle="1" w:styleId="ad">
    <w:name w:val="Текст выноски Знак"/>
    <w:basedOn w:val="a0"/>
    <w:link w:val="ac"/>
    <w:rsid w:val="003075B7"/>
    <w:rPr>
      <w:rFonts w:ascii="Tahoma" w:hAnsi="Tahoma" w:cs="Tahoma"/>
      <w:sz w:val="16"/>
      <w:szCs w:val="16"/>
    </w:rPr>
  </w:style>
  <w:style w:type="character" w:styleId="ae">
    <w:name w:val="Placeholder Text"/>
    <w:basedOn w:val="a0"/>
    <w:uiPriority w:val="99"/>
    <w:semiHidden/>
    <w:rsid w:val="00E54EE7"/>
    <w:rPr>
      <w:color w:val="808080"/>
    </w:rPr>
  </w:style>
  <w:style w:type="character" w:customStyle="1" w:styleId="10">
    <w:name w:val="Заголовок 1 Знак"/>
    <w:basedOn w:val="a0"/>
    <w:link w:val="1"/>
    <w:rsid w:val="009C7925"/>
    <w:rPr>
      <w:sz w:val="28"/>
      <w:lang w:val="x-none" w:eastAsia="en-US"/>
    </w:rPr>
  </w:style>
  <w:style w:type="paragraph" w:styleId="af">
    <w:name w:val="List Paragraph"/>
    <w:basedOn w:val="a"/>
    <w:uiPriority w:val="34"/>
    <w:qFormat/>
    <w:rsid w:val="00232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ECA"/>
    <w:rPr>
      <w:sz w:val="24"/>
      <w:szCs w:val="24"/>
    </w:rPr>
  </w:style>
  <w:style w:type="paragraph" w:styleId="1">
    <w:name w:val="heading 1"/>
    <w:basedOn w:val="a"/>
    <w:next w:val="a"/>
    <w:link w:val="10"/>
    <w:qFormat/>
    <w:rsid w:val="009C7925"/>
    <w:pPr>
      <w:keepNext/>
      <w:outlineLvl w:val="0"/>
    </w:pPr>
    <w:rPr>
      <w:sz w:val="28"/>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91B06"/>
    <w:pPr>
      <w:tabs>
        <w:tab w:val="center" w:pos="4677"/>
        <w:tab w:val="right" w:pos="9355"/>
      </w:tabs>
    </w:pPr>
  </w:style>
  <w:style w:type="character" w:styleId="a5">
    <w:name w:val="page number"/>
    <w:basedOn w:val="a0"/>
    <w:rsid w:val="00091B06"/>
  </w:style>
  <w:style w:type="paragraph" w:styleId="a6">
    <w:name w:val="footer"/>
    <w:basedOn w:val="a"/>
    <w:rsid w:val="00091B06"/>
    <w:pPr>
      <w:tabs>
        <w:tab w:val="center" w:pos="4677"/>
        <w:tab w:val="right" w:pos="9355"/>
      </w:tabs>
    </w:pPr>
  </w:style>
  <w:style w:type="paragraph" w:styleId="a7">
    <w:name w:val="Body Text"/>
    <w:basedOn w:val="a"/>
    <w:link w:val="a8"/>
    <w:rsid w:val="00413798"/>
    <w:rPr>
      <w:sz w:val="28"/>
      <w:szCs w:val="20"/>
    </w:rPr>
  </w:style>
  <w:style w:type="character" w:customStyle="1" w:styleId="a8">
    <w:name w:val="Основной текст Знак"/>
    <w:basedOn w:val="a0"/>
    <w:link w:val="a7"/>
    <w:rsid w:val="00413798"/>
    <w:rPr>
      <w:sz w:val="28"/>
    </w:rPr>
  </w:style>
  <w:style w:type="character" w:styleId="a9">
    <w:name w:val="Hyperlink"/>
    <w:basedOn w:val="a0"/>
    <w:rsid w:val="005F7AEA"/>
    <w:rPr>
      <w:color w:val="0000FF"/>
      <w:u w:val="single"/>
    </w:rPr>
  </w:style>
  <w:style w:type="paragraph" w:styleId="aa">
    <w:name w:val="Normal (Web)"/>
    <w:basedOn w:val="a"/>
    <w:uiPriority w:val="99"/>
    <w:unhideWhenUsed/>
    <w:rsid w:val="00E3785C"/>
    <w:pPr>
      <w:spacing w:before="100" w:beforeAutospacing="1" w:after="100" w:afterAutospacing="1"/>
    </w:pPr>
  </w:style>
  <w:style w:type="character" w:customStyle="1" w:styleId="googqs-tidbit-2">
    <w:name w:val="goog_qs-tidbit-2"/>
    <w:basedOn w:val="a0"/>
    <w:rsid w:val="00043503"/>
  </w:style>
  <w:style w:type="paragraph" w:styleId="ab">
    <w:name w:val="No Spacing"/>
    <w:uiPriority w:val="1"/>
    <w:qFormat/>
    <w:rsid w:val="00DC73FF"/>
    <w:rPr>
      <w:rFonts w:ascii="Calibri" w:eastAsia="Calibri" w:hAnsi="Calibri"/>
      <w:sz w:val="22"/>
      <w:szCs w:val="22"/>
      <w:lang w:eastAsia="en-US"/>
    </w:rPr>
  </w:style>
  <w:style w:type="paragraph" w:customStyle="1" w:styleId="Default">
    <w:name w:val="Default"/>
    <w:rsid w:val="004C516E"/>
    <w:pPr>
      <w:autoSpaceDE w:val="0"/>
      <w:autoSpaceDN w:val="0"/>
      <w:adjustRightInd w:val="0"/>
    </w:pPr>
    <w:rPr>
      <w:color w:val="000000"/>
      <w:sz w:val="24"/>
      <w:szCs w:val="24"/>
    </w:rPr>
  </w:style>
  <w:style w:type="paragraph" w:styleId="ac">
    <w:name w:val="Balloon Text"/>
    <w:basedOn w:val="a"/>
    <w:link w:val="ad"/>
    <w:rsid w:val="003075B7"/>
    <w:rPr>
      <w:rFonts w:ascii="Tahoma" w:hAnsi="Tahoma" w:cs="Tahoma"/>
      <w:sz w:val="16"/>
      <w:szCs w:val="16"/>
    </w:rPr>
  </w:style>
  <w:style w:type="character" w:customStyle="1" w:styleId="ad">
    <w:name w:val="Текст выноски Знак"/>
    <w:basedOn w:val="a0"/>
    <w:link w:val="ac"/>
    <w:rsid w:val="003075B7"/>
    <w:rPr>
      <w:rFonts w:ascii="Tahoma" w:hAnsi="Tahoma" w:cs="Tahoma"/>
      <w:sz w:val="16"/>
      <w:szCs w:val="16"/>
    </w:rPr>
  </w:style>
  <w:style w:type="character" w:styleId="ae">
    <w:name w:val="Placeholder Text"/>
    <w:basedOn w:val="a0"/>
    <w:uiPriority w:val="99"/>
    <w:semiHidden/>
    <w:rsid w:val="00E54EE7"/>
    <w:rPr>
      <w:color w:val="808080"/>
    </w:rPr>
  </w:style>
  <w:style w:type="character" w:customStyle="1" w:styleId="10">
    <w:name w:val="Заголовок 1 Знак"/>
    <w:basedOn w:val="a0"/>
    <w:link w:val="1"/>
    <w:rsid w:val="009C7925"/>
    <w:rPr>
      <w:sz w:val="28"/>
      <w:lang w:val="x-none" w:eastAsia="en-US"/>
    </w:rPr>
  </w:style>
  <w:style w:type="paragraph" w:styleId="af">
    <w:name w:val="List Paragraph"/>
    <w:basedOn w:val="a"/>
    <w:uiPriority w:val="34"/>
    <w:qFormat/>
    <w:rsid w:val="0023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856">
      <w:bodyDiv w:val="1"/>
      <w:marLeft w:val="0"/>
      <w:marRight w:val="0"/>
      <w:marTop w:val="0"/>
      <w:marBottom w:val="0"/>
      <w:divBdr>
        <w:top w:val="none" w:sz="0" w:space="0" w:color="auto"/>
        <w:left w:val="none" w:sz="0" w:space="0" w:color="auto"/>
        <w:bottom w:val="none" w:sz="0" w:space="0" w:color="auto"/>
        <w:right w:val="none" w:sz="0" w:space="0" w:color="auto"/>
      </w:divBdr>
    </w:div>
    <w:div w:id="460730594">
      <w:bodyDiv w:val="1"/>
      <w:marLeft w:val="0"/>
      <w:marRight w:val="0"/>
      <w:marTop w:val="0"/>
      <w:marBottom w:val="0"/>
      <w:divBdr>
        <w:top w:val="none" w:sz="0" w:space="0" w:color="auto"/>
        <w:left w:val="none" w:sz="0" w:space="0" w:color="auto"/>
        <w:bottom w:val="none" w:sz="0" w:space="0" w:color="auto"/>
        <w:right w:val="none" w:sz="0" w:space="0" w:color="auto"/>
      </w:divBdr>
      <w:divsChild>
        <w:div w:id="1994868575">
          <w:marLeft w:val="0"/>
          <w:marRight w:val="0"/>
          <w:marTop w:val="0"/>
          <w:marBottom w:val="0"/>
          <w:divBdr>
            <w:top w:val="none" w:sz="0" w:space="0" w:color="auto"/>
            <w:left w:val="none" w:sz="0" w:space="0" w:color="auto"/>
            <w:bottom w:val="none" w:sz="0" w:space="0" w:color="auto"/>
            <w:right w:val="none" w:sz="0" w:space="0" w:color="auto"/>
          </w:divBdr>
          <w:divsChild>
            <w:div w:id="510338380">
              <w:marLeft w:val="0"/>
              <w:marRight w:val="0"/>
              <w:marTop w:val="0"/>
              <w:marBottom w:val="0"/>
              <w:divBdr>
                <w:top w:val="none" w:sz="0" w:space="0" w:color="auto"/>
                <w:left w:val="none" w:sz="0" w:space="0" w:color="auto"/>
                <w:bottom w:val="none" w:sz="0" w:space="0" w:color="auto"/>
                <w:right w:val="none" w:sz="0" w:space="0" w:color="auto"/>
              </w:divBdr>
              <w:divsChild>
                <w:div w:id="1087851736">
                  <w:marLeft w:val="0"/>
                  <w:marRight w:val="0"/>
                  <w:marTop w:val="0"/>
                  <w:marBottom w:val="0"/>
                  <w:divBdr>
                    <w:top w:val="none" w:sz="0" w:space="0" w:color="auto"/>
                    <w:left w:val="none" w:sz="0" w:space="0" w:color="auto"/>
                    <w:bottom w:val="none" w:sz="0" w:space="0" w:color="auto"/>
                    <w:right w:val="none" w:sz="0" w:space="0" w:color="auto"/>
                  </w:divBdr>
                  <w:divsChild>
                    <w:div w:id="533229898">
                      <w:marLeft w:val="0"/>
                      <w:marRight w:val="0"/>
                      <w:marTop w:val="0"/>
                      <w:marBottom w:val="0"/>
                      <w:divBdr>
                        <w:top w:val="none" w:sz="0" w:space="0" w:color="auto"/>
                        <w:left w:val="none" w:sz="0" w:space="0" w:color="auto"/>
                        <w:bottom w:val="none" w:sz="0" w:space="0" w:color="auto"/>
                        <w:right w:val="none" w:sz="0" w:space="0" w:color="auto"/>
                      </w:divBdr>
                      <w:divsChild>
                        <w:div w:id="2085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68434">
      <w:bodyDiv w:val="1"/>
      <w:marLeft w:val="0"/>
      <w:marRight w:val="0"/>
      <w:marTop w:val="0"/>
      <w:marBottom w:val="0"/>
      <w:divBdr>
        <w:top w:val="none" w:sz="0" w:space="0" w:color="auto"/>
        <w:left w:val="none" w:sz="0" w:space="0" w:color="auto"/>
        <w:bottom w:val="none" w:sz="0" w:space="0" w:color="auto"/>
        <w:right w:val="none" w:sz="0" w:space="0" w:color="auto"/>
      </w:divBdr>
      <w:divsChild>
        <w:div w:id="783892056">
          <w:marLeft w:val="0"/>
          <w:marRight w:val="0"/>
          <w:marTop w:val="0"/>
          <w:marBottom w:val="0"/>
          <w:divBdr>
            <w:top w:val="none" w:sz="0" w:space="0" w:color="auto"/>
            <w:left w:val="none" w:sz="0" w:space="0" w:color="auto"/>
            <w:bottom w:val="none" w:sz="0" w:space="0" w:color="auto"/>
            <w:right w:val="none" w:sz="0" w:space="0" w:color="auto"/>
          </w:divBdr>
          <w:divsChild>
            <w:div w:id="590353557">
              <w:marLeft w:val="0"/>
              <w:marRight w:val="0"/>
              <w:marTop w:val="0"/>
              <w:marBottom w:val="0"/>
              <w:divBdr>
                <w:top w:val="none" w:sz="0" w:space="0" w:color="auto"/>
                <w:left w:val="none" w:sz="0" w:space="0" w:color="auto"/>
                <w:bottom w:val="none" w:sz="0" w:space="0" w:color="auto"/>
                <w:right w:val="none" w:sz="0" w:space="0" w:color="auto"/>
              </w:divBdr>
              <w:divsChild>
                <w:div w:id="276330272">
                  <w:marLeft w:val="0"/>
                  <w:marRight w:val="0"/>
                  <w:marTop w:val="0"/>
                  <w:marBottom w:val="0"/>
                  <w:divBdr>
                    <w:top w:val="none" w:sz="0" w:space="0" w:color="auto"/>
                    <w:left w:val="none" w:sz="0" w:space="0" w:color="auto"/>
                    <w:bottom w:val="none" w:sz="0" w:space="0" w:color="auto"/>
                    <w:right w:val="none" w:sz="0" w:space="0" w:color="auto"/>
                  </w:divBdr>
                  <w:divsChild>
                    <w:div w:id="1648704870">
                      <w:marLeft w:val="0"/>
                      <w:marRight w:val="0"/>
                      <w:marTop w:val="0"/>
                      <w:marBottom w:val="0"/>
                      <w:divBdr>
                        <w:top w:val="none" w:sz="0" w:space="0" w:color="auto"/>
                        <w:left w:val="none" w:sz="0" w:space="0" w:color="auto"/>
                        <w:bottom w:val="none" w:sz="0" w:space="0" w:color="auto"/>
                        <w:right w:val="none" w:sz="0" w:space="0" w:color="auto"/>
                      </w:divBdr>
                      <w:divsChild>
                        <w:div w:id="68310555">
                          <w:marLeft w:val="0"/>
                          <w:marRight w:val="0"/>
                          <w:marTop w:val="0"/>
                          <w:marBottom w:val="0"/>
                          <w:divBdr>
                            <w:top w:val="none" w:sz="0" w:space="0" w:color="auto"/>
                            <w:left w:val="none" w:sz="0" w:space="0" w:color="auto"/>
                            <w:bottom w:val="none" w:sz="0" w:space="0" w:color="auto"/>
                            <w:right w:val="none" w:sz="0" w:space="0" w:color="auto"/>
                          </w:divBdr>
                        </w:div>
                        <w:div w:id="2010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ranaph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1CE-6BCD-4E3D-8134-2C393FF2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17</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Рекомендации по оформлению Изменения к нормативной документации по разделу «Маркировка»</vt:lpstr>
    </vt:vector>
  </TitlesOfParts>
  <Company>Microsoft</Company>
  <LinksUpToDate>false</LinksUpToDate>
  <CharactersWithSpaces>25480</CharactersWithSpaces>
  <SharedDoc>false</SharedDoc>
  <HLinks>
    <vt:vector size="18" baseType="variant">
      <vt:variant>
        <vt:i4>4128783</vt:i4>
      </vt:variant>
      <vt:variant>
        <vt:i4>5</vt:i4>
      </vt:variant>
      <vt:variant>
        <vt:i4>0</vt:i4>
      </vt:variant>
      <vt:variant>
        <vt:i4>5</vt:i4>
      </vt:variant>
      <vt:variant>
        <vt:lpwstr>mailto:info@pranapharm.ru</vt:lpwstr>
      </vt:variant>
      <vt:variant>
        <vt:lpwstr/>
      </vt:variant>
      <vt:variant>
        <vt:i4>5046305</vt:i4>
      </vt:variant>
      <vt:variant>
        <vt:i4>3</vt:i4>
      </vt:variant>
      <vt:variant>
        <vt:i4>0</vt:i4>
      </vt:variant>
      <vt:variant>
        <vt:i4>5</vt:i4>
      </vt:variant>
      <vt:variant>
        <vt:lpwstr>mailto:prana-sales@samaramail.ru</vt:lpwstr>
      </vt:variant>
      <vt:variant>
        <vt:lpwstr/>
      </vt:variant>
      <vt:variant>
        <vt:i4>4128783</vt:i4>
      </vt:variant>
      <vt:variant>
        <vt:i4>0</vt:i4>
      </vt:variant>
      <vt:variant>
        <vt:i4>0</vt:i4>
      </vt:variant>
      <vt:variant>
        <vt:i4>5</vt:i4>
      </vt:variant>
      <vt:variant>
        <vt:lpwstr>mailto:info@pranapharm.ru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оформлению Изменения к нормативной документации по разделу «Маркировка»</dc:title>
  <dc:creator>RozhnovaSA</dc:creator>
  <cp:lastModifiedBy>Ольга</cp:lastModifiedBy>
  <cp:revision>15</cp:revision>
  <cp:lastPrinted>2020-04-10T07:19:00Z</cp:lastPrinted>
  <dcterms:created xsi:type="dcterms:W3CDTF">2020-04-06T07:47:00Z</dcterms:created>
  <dcterms:modified xsi:type="dcterms:W3CDTF">2020-04-16T05:33:00Z</dcterms:modified>
</cp:coreProperties>
</file>